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3EC3" w14:textId="212471CE" w:rsidR="00107345" w:rsidRPr="00B1299F" w:rsidRDefault="00FF5EBF" w:rsidP="00FF5EBF">
      <w:pPr>
        <w:jc w:val="center"/>
        <w:rPr>
          <w:rFonts w:ascii="Arial" w:hAnsi="Arial" w:cs="Arial"/>
          <w:b/>
          <w:bCs/>
          <w:sz w:val="28"/>
          <w:szCs w:val="28"/>
        </w:rPr>
      </w:pPr>
      <w:r w:rsidRPr="00B1299F">
        <w:rPr>
          <w:rFonts w:ascii="Arial" w:hAnsi="Arial" w:cs="Arial"/>
          <w:b/>
          <w:bCs/>
          <w:sz w:val="28"/>
          <w:szCs w:val="28"/>
        </w:rPr>
        <w:t xml:space="preserve">PLAN ANUAL DE INVESTIGACIÓN </w:t>
      </w:r>
    </w:p>
    <w:p w14:paraId="2F12812F" w14:textId="66C36520" w:rsidR="00FF5EBF" w:rsidRPr="00B1299F" w:rsidRDefault="00FF5EBF" w:rsidP="00FF5EBF">
      <w:pPr>
        <w:jc w:val="center"/>
        <w:rPr>
          <w:rFonts w:ascii="Arial" w:hAnsi="Arial" w:cs="Arial"/>
          <w:b/>
          <w:bCs/>
          <w:sz w:val="28"/>
          <w:szCs w:val="28"/>
        </w:rPr>
      </w:pPr>
      <w:r w:rsidRPr="00B1299F">
        <w:rPr>
          <w:rFonts w:ascii="Arial" w:hAnsi="Arial" w:cs="Arial"/>
          <w:b/>
          <w:bCs/>
          <w:sz w:val="28"/>
          <w:szCs w:val="28"/>
        </w:rPr>
        <w:t xml:space="preserve">OPPCF </w:t>
      </w:r>
    </w:p>
    <w:p w14:paraId="5BCFDB97" w14:textId="6567FC53" w:rsidR="00FF5EBF" w:rsidRPr="00B1299F" w:rsidRDefault="00FF5EBF" w:rsidP="00FF5EBF">
      <w:pPr>
        <w:jc w:val="center"/>
        <w:rPr>
          <w:rFonts w:ascii="Arial" w:hAnsi="Arial" w:cs="Arial"/>
          <w:b/>
          <w:bCs/>
          <w:sz w:val="28"/>
          <w:szCs w:val="28"/>
        </w:rPr>
      </w:pPr>
      <w:r w:rsidRPr="00B1299F">
        <w:rPr>
          <w:rFonts w:ascii="Arial" w:hAnsi="Arial" w:cs="Arial"/>
          <w:b/>
          <w:bCs/>
          <w:sz w:val="28"/>
          <w:szCs w:val="28"/>
        </w:rPr>
        <w:t xml:space="preserve">Vigencia 2023 </w:t>
      </w:r>
    </w:p>
    <w:p w14:paraId="57305D2F" w14:textId="77777777" w:rsidR="00FF5EBF" w:rsidRPr="00EA4396" w:rsidRDefault="00FF5EBF" w:rsidP="00FF5EBF">
      <w:pPr>
        <w:pStyle w:val="Sinespaciado"/>
        <w:jc w:val="both"/>
        <w:rPr>
          <w:rFonts w:ascii="Arial" w:hAnsi="Arial" w:cs="Arial"/>
          <w:sz w:val="24"/>
          <w:szCs w:val="24"/>
        </w:rPr>
      </w:pPr>
    </w:p>
    <w:p w14:paraId="4F69077B" w14:textId="200EDF63" w:rsidR="00FF5EBF" w:rsidRDefault="00FF5EBF" w:rsidP="00FF5EBF">
      <w:pPr>
        <w:pStyle w:val="Sinespaciado"/>
        <w:jc w:val="both"/>
        <w:rPr>
          <w:rFonts w:ascii="Arial" w:hAnsi="Arial" w:cs="Arial"/>
          <w:sz w:val="24"/>
          <w:szCs w:val="24"/>
        </w:rPr>
      </w:pPr>
      <w:r w:rsidRPr="00EA4396">
        <w:rPr>
          <w:rFonts w:ascii="Arial" w:hAnsi="Arial" w:cs="Arial"/>
          <w:sz w:val="24"/>
          <w:szCs w:val="24"/>
        </w:rPr>
        <w:t xml:space="preserve">El plan anual de investigación constituye el cumplimiento de los fines del plan estratégico de forma fraccionada. Como su nombre lo indica se construye para la vigencia de un (1) año y define de forma concreta las necesidades, las actividades, el cronograma y los productos esperados. El plan anual se realiza por cada una de las líneas de intervención del OPPCF, encargadas de dar cumplimiento a los objetivos institucionales en materia de generación de conocimiento científico y debe cimentarse sobre un proceso de articulación y comunicación constante con otras dependencias que desarrollan lineamientos comunes. </w:t>
      </w:r>
    </w:p>
    <w:p w14:paraId="2DD64497" w14:textId="77777777" w:rsidR="00FF5EBF" w:rsidRPr="00EA4396" w:rsidRDefault="00FF5EBF" w:rsidP="00FF5EB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FF5EBF" w:rsidRPr="00EA4396" w14:paraId="227CAC86" w14:textId="77777777" w:rsidTr="00462A08">
        <w:tc>
          <w:tcPr>
            <w:tcW w:w="8828" w:type="dxa"/>
            <w:shd w:val="clear" w:color="auto" w:fill="D9E2F3" w:themeFill="accent1" w:themeFillTint="33"/>
          </w:tcPr>
          <w:p w14:paraId="101220B0" w14:textId="536B5CFB" w:rsidR="00FF5EBF" w:rsidRPr="00EA4396" w:rsidRDefault="00FF5EBF" w:rsidP="00462A08">
            <w:pPr>
              <w:pStyle w:val="Sinespaciado"/>
              <w:jc w:val="both"/>
              <w:rPr>
                <w:rFonts w:ascii="Arial" w:hAnsi="Arial" w:cs="Arial"/>
                <w:b/>
                <w:bCs/>
                <w:sz w:val="24"/>
                <w:szCs w:val="24"/>
              </w:rPr>
            </w:pPr>
            <w:r>
              <w:rPr>
                <w:rFonts w:ascii="Arial" w:hAnsi="Arial" w:cs="Arial"/>
                <w:b/>
                <w:bCs/>
                <w:sz w:val="24"/>
                <w:szCs w:val="24"/>
              </w:rPr>
              <w:t xml:space="preserve">INTRODUCCIÓN </w:t>
            </w:r>
          </w:p>
        </w:tc>
      </w:tr>
    </w:tbl>
    <w:p w14:paraId="37E380F0" w14:textId="77777777" w:rsidR="00FF5EBF" w:rsidRPr="00EA4396" w:rsidRDefault="00FF5EBF" w:rsidP="00FF5EBF">
      <w:pPr>
        <w:pStyle w:val="Sinespaciado"/>
        <w:jc w:val="both"/>
        <w:rPr>
          <w:rFonts w:ascii="Arial" w:hAnsi="Arial" w:cs="Arial"/>
          <w:sz w:val="24"/>
          <w:szCs w:val="24"/>
        </w:rPr>
      </w:pPr>
    </w:p>
    <w:p w14:paraId="37EE554D" w14:textId="16F7895B" w:rsidR="00FF5EBF" w:rsidRDefault="00CA6A9F" w:rsidP="00FF5EBF">
      <w:pPr>
        <w:pStyle w:val="Sinespaciado"/>
        <w:jc w:val="both"/>
        <w:rPr>
          <w:rFonts w:ascii="Arial" w:hAnsi="Arial" w:cs="Arial"/>
          <w:sz w:val="24"/>
          <w:szCs w:val="24"/>
        </w:rPr>
      </w:pPr>
      <w:r>
        <w:rPr>
          <w:rFonts w:ascii="Arial" w:hAnsi="Arial" w:cs="Arial"/>
          <w:sz w:val="24"/>
          <w:szCs w:val="24"/>
        </w:rPr>
        <w:t xml:space="preserve">El Observatorio de Política Pública de Control Fiscal ha logrado consolidarse como un referente en materia de investigación y producción de conocimiento especializado durante sus cuatro (4) años de existencia. Ello es así en tanto que, cuenta con más de 38 investigadores adscritos, entre los que se destacan, funcionarios de la Auditoría General de la república, </w:t>
      </w:r>
      <w:r w:rsidR="00222EF4">
        <w:rPr>
          <w:rFonts w:ascii="Arial" w:hAnsi="Arial" w:cs="Arial"/>
          <w:sz w:val="24"/>
          <w:szCs w:val="24"/>
        </w:rPr>
        <w:t>funcionarios</w:t>
      </w:r>
      <w:r>
        <w:rPr>
          <w:rFonts w:ascii="Arial" w:hAnsi="Arial" w:cs="Arial"/>
          <w:sz w:val="24"/>
          <w:szCs w:val="24"/>
        </w:rPr>
        <w:t xml:space="preserve"> de Contralorías territoriales y contratistas; Su grupo de investigación </w:t>
      </w:r>
      <w:r w:rsidR="00222EF4">
        <w:rPr>
          <w:rFonts w:ascii="Arial" w:hAnsi="Arial" w:cs="Arial"/>
          <w:sz w:val="24"/>
          <w:szCs w:val="24"/>
        </w:rPr>
        <w:t xml:space="preserve">se encuentra clasificado conforme al sistema nacional de Ciencia, Tecnología en innovación en categoría B, contando con 2 investigadores asociados y 7 junior; cuenta con más de 60 productos investigativos vinculados. </w:t>
      </w:r>
    </w:p>
    <w:p w14:paraId="5FD2FBF4" w14:textId="77777777" w:rsidR="00222EF4" w:rsidRDefault="00222EF4" w:rsidP="00FF5EBF">
      <w:pPr>
        <w:pStyle w:val="Sinespaciado"/>
        <w:jc w:val="both"/>
        <w:rPr>
          <w:rFonts w:ascii="Arial" w:hAnsi="Arial" w:cs="Arial"/>
          <w:sz w:val="24"/>
          <w:szCs w:val="24"/>
        </w:rPr>
      </w:pPr>
    </w:p>
    <w:p w14:paraId="674DFE59" w14:textId="759CA0F8" w:rsidR="00222EF4" w:rsidRDefault="00222EF4" w:rsidP="00FF5EBF">
      <w:pPr>
        <w:pStyle w:val="Sinespaciado"/>
        <w:jc w:val="both"/>
        <w:rPr>
          <w:rFonts w:ascii="Arial" w:hAnsi="Arial" w:cs="Arial"/>
          <w:sz w:val="24"/>
          <w:szCs w:val="24"/>
        </w:rPr>
      </w:pPr>
      <w:r>
        <w:rPr>
          <w:rFonts w:ascii="Arial" w:hAnsi="Arial" w:cs="Arial"/>
          <w:sz w:val="24"/>
          <w:szCs w:val="24"/>
        </w:rPr>
        <w:t xml:space="preserve">En ese sentido, </w:t>
      </w:r>
      <w:r w:rsidR="00953F91">
        <w:rPr>
          <w:rFonts w:ascii="Arial" w:hAnsi="Arial" w:cs="Arial"/>
          <w:sz w:val="24"/>
          <w:szCs w:val="24"/>
        </w:rPr>
        <w:t xml:space="preserve">el presente plan anual de investigación seguirá fomentando las actividades tendientes a su posicionamiento, esta vez, con un énfasis en los procesos que acompañan la vigilancia de la gestión fiscal, entre estos, los procesos misionales de la Auditoría General de la República, como consecuencia del índice de evaluación trimestral y anual de las contralorías territoriales a través de AUDITECT, las necesidades concretas elevadas por las áreas misionales de la entidad, y la participación ciudadana, en procura del goce efectivo de los derechos fundamentales. </w:t>
      </w:r>
    </w:p>
    <w:p w14:paraId="5DD9DFF1" w14:textId="77777777" w:rsidR="00BF19E5" w:rsidRPr="00EA4396" w:rsidRDefault="00BF19E5" w:rsidP="00FF5EB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FF5EBF" w:rsidRPr="00EA4396" w14:paraId="5B7652EA" w14:textId="77777777" w:rsidTr="00462A08">
        <w:tc>
          <w:tcPr>
            <w:tcW w:w="8828" w:type="dxa"/>
            <w:shd w:val="clear" w:color="auto" w:fill="D9E2F3" w:themeFill="accent1" w:themeFillTint="33"/>
          </w:tcPr>
          <w:p w14:paraId="4D4B43D6" w14:textId="2543DFD6" w:rsidR="00FF5EBF" w:rsidRPr="00EA4396" w:rsidRDefault="00FF5EBF" w:rsidP="00462A08">
            <w:pPr>
              <w:pStyle w:val="Sinespaciado"/>
              <w:jc w:val="both"/>
              <w:rPr>
                <w:rFonts w:ascii="Arial" w:hAnsi="Arial" w:cs="Arial"/>
                <w:b/>
                <w:bCs/>
                <w:sz w:val="24"/>
                <w:szCs w:val="24"/>
              </w:rPr>
            </w:pPr>
            <w:r>
              <w:rPr>
                <w:rFonts w:ascii="Arial" w:hAnsi="Arial" w:cs="Arial"/>
                <w:b/>
                <w:bCs/>
                <w:sz w:val="24"/>
                <w:szCs w:val="24"/>
              </w:rPr>
              <w:t>CONTEXTO – NECESIDADES E INVERSIÓN</w:t>
            </w:r>
          </w:p>
        </w:tc>
      </w:tr>
    </w:tbl>
    <w:p w14:paraId="3FD05F8C" w14:textId="77777777" w:rsidR="00FF5EBF" w:rsidRPr="00EA4396" w:rsidRDefault="00FF5EBF" w:rsidP="00FF5EBF">
      <w:pPr>
        <w:pStyle w:val="Sinespaciado"/>
        <w:jc w:val="both"/>
        <w:rPr>
          <w:rFonts w:ascii="Arial" w:hAnsi="Arial" w:cs="Arial"/>
          <w:b/>
          <w:bCs/>
          <w:sz w:val="24"/>
          <w:szCs w:val="24"/>
        </w:rPr>
      </w:pPr>
    </w:p>
    <w:p w14:paraId="381C3FCF" w14:textId="14DA8AF4" w:rsidR="00953F91" w:rsidRDefault="00222D97" w:rsidP="00FF5EBF">
      <w:pPr>
        <w:pStyle w:val="Sinespaciado"/>
        <w:jc w:val="both"/>
        <w:rPr>
          <w:rFonts w:ascii="Arial" w:hAnsi="Arial" w:cs="Arial"/>
          <w:sz w:val="24"/>
          <w:szCs w:val="24"/>
        </w:rPr>
      </w:pPr>
      <w:r>
        <w:rPr>
          <w:rFonts w:ascii="Arial" w:hAnsi="Arial" w:cs="Arial"/>
          <w:sz w:val="24"/>
          <w:szCs w:val="24"/>
        </w:rPr>
        <w:t xml:space="preserve">Fruto de los ejercicios de socialización de los resultados investigativos del Observatorio de Política Pública de Control Fiscal, se identificó la necesidad de desarrollar actividades encaminadas a la visibilización de los procesos en materia de control fiscal, concretamente de los procesos atendidos y adelantados por la Auditoría General de la República de conformidad con lo estipulado en el Acto Legislativo </w:t>
      </w:r>
      <w:r w:rsidR="00B81E4E">
        <w:rPr>
          <w:rFonts w:ascii="Arial" w:hAnsi="Arial" w:cs="Arial"/>
          <w:sz w:val="24"/>
          <w:szCs w:val="24"/>
        </w:rPr>
        <w:t xml:space="preserve">04 de 2019. También, se determinó que era necesario realizar abordajes investigativos cuya metodología consistiere en el análisis de datos, que permitieran identificar acciones de mejora en el ejercicio del control fiscal. </w:t>
      </w:r>
      <w:r w:rsidR="001C25F9">
        <w:rPr>
          <w:rFonts w:ascii="Arial" w:hAnsi="Arial" w:cs="Arial"/>
          <w:sz w:val="24"/>
          <w:szCs w:val="24"/>
        </w:rPr>
        <w:t xml:space="preserve">Finalmente, se </w:t>
      </w:r>
      <w:r w:rsidR="001C25F9">
        <w:rPr>
          <w:rFonts w:ascii="Arial" w:hAnsi="Arial" w:cs="Arial"/>
          <w:sz w:val="24"/>
          <w:szCs w:val="24"/>
        </w:rPr>
        <w:lastRenderedPageBreak/>
        <w:t xml:space="preserve">mantiene la línea de trabajo encaminada al fortalecimiento de la participación ciudadana en el ejercicio del control fiscal, a través de actividades que visibilicen y faciliten este propósito. </w:t>
      </w:r>
    </w:p>
    <w:p w14:paraId="1A433937" w14:textId="77777777" w:rsidR="00FF5EBF" w:rsidRPr="00EA4396" w:rsidRDefault="00FF5EBF" w:rsidP="00FF5EB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FF5EBF" w:rsidRPr="00EA4396" w14:paraId="54EF4194" w14:textId="77777777" w:rsidTr="00462A08">
        <w:tc>
          <w:tcPr>
            <w:tcW w:w="8828" w:type="dxa"/>
            <w:shd w:val="clear" w:color="auto" w:fill="D9E2F3" w:themeFill="accent1" w:themeFillTint="33"/>
          </w:tcPr>
          <w:p w14:paraId="1FF6AA48" w14:textId="523187D9" w:rsidR="00FF5EBF" w:rsidRPr="00EA4396" w:rsidRDefault="00FF5EBF" w:rsidP="00462A08">
            <w:pPr>
              <w:pStyle w:val="Sinespaciado"/>
              <w:jc w:val="both"/>
              <w:rPr>
                <w:rFonts w:ascii="Arial" w:hAnsi="Arial" w:cs="Arial"/>
                <w:b/>
                <w:bCs/>
                <w:sz w:val="24"/>
                <w:szCs w:val="24"/>
              </w:rPr>
            </w:pPr>
            <w:r>
              <w:rPr>
                <w:rFonts w:ascii="Arial" w:hAnsi="Arial" w:cs="Arial"/>
                <w:b/>
                <w:bCs/>
                <w:sz w:val="24"/>
                <w:szCs w:val="24"/>
              </w:rPr>
              <w:t>OBJETIVO GENERAL</w:t>
            </w:r>
          </w:p>
        </w:tc>
      </w:tr>
    </w:tbl>
    <w:p w14:paraId="4913DE48" w14:textId="77777777" w:rsidR="00FF5EBF" w:rsidRPr="00EA4396" w:rsidRDefault="00FF5EBF" w:rsidP="00FF5EBF">
      <w:pPr>
        <w:pStyle w:val="Sinespaciado"/>
        <w:jc w:val="both"/>
        <w:rPr>
          <w:rFonts w:ascii="Arial" w:hAnsi="Arial" w:cs="Arial"/>
          <w:b/>
          <w:bCs/>
          <w:sz w:val="24"/>
          <w:szCs w:val="24"/>
        </w:rPr>
      </w:pPr>
    </w:p>
    <w:p w14:paraId="04C5195E" w14:textId="11B56419" w:rsidR="00A815A2" w:rsidRDefault="00304AD9" w:rsidP="00A815A2">
      <w:pPr>
        <w:jc w:val="both"/>
        <w:rPr>
          <w:rFonts w:ascii="Arial" w:hAnsi="Arial" w:cs="Arial"/>
          <w:sz w:val="24"/>
          <w:szCs w:val="24"/>
        </w:rPr>
      </w:pPr>
      <w:r w:rsidRPr="00304AD9">
        <w:rPr>
          <w:rFonts w:ascii="Arial" w:hAnsi="Arial" w:cs="Arial"/>
          <w:sz w:val="24"/>
          <w:szCs w:val="24"/>
        </w:rPr>
        <w:t>Consolidar la producción de la investigación del O</w:t>
      </w:r>
      <w:r>
        <w:rPr>
          <w:rFonts w:ascii="Arial" w:hAnsi="Arial" w:cs="Arial"/>
          <w:sz w:val="24"/>
          <w:szCs w:val="24"/>
        </w:rPr>
        <w:t>PPCF</w:t>
      </w:r>
      <w:r w:rsidRPr="00304AD9">
        <w:rPr>
          <w:rFonts w:ascii="Arial" w:hAnsi="Arial" w:cs="Arial"/>
          <w:sz w:val="24"/>
          <w:szCs w:val="24"/>
        </w:rPr>
        <w:t xml:space="preserve"> y visibilizar ante los grupos de valor dicha producción</w:t>
      </w:r>
      <w:r w:rsidRPr="00304AD9">
        <w:rPr>
          <w:rFonts w:ascii="Arial" w:hAnsi="Arial" w:cs="Arial"/>
          <w:sz w:val="24"/>
          <w:szCs w:val="24"/>
        </w:rPr>
        <w:t xml:space="preserve">. </w:t>
      </w:r>
    </w:p>
    <w:p w14:paraId="52384BBD" w14:textId="77777777" w:rsidR="00A815A2" w:rsidRPr="00EA4396" w:rsidRDefault="00A815A2" w:rsidP="00A815A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FF5EBF" w:rsidRPr="00EA4396" w14:paraId="256C1F53" w14:textId="77777777" w:rsidTr="00462A08">
        <w:tc>
          <w:tcPr>
            <w:tcW w:w="8828" w:type="dxa"/>
            <w:shd w:val="clear" w:color="auto" w:fill="D9E2F3" w:themeFill="accent1" w:themeFillTint="33"/>
          </w:tcPr>
          <w:p w14:paraId="5A7714F7" w14:textId="032D9736" w:rsidR="00FF5EBF" w:rsidRPr="00EA4396" w:rsidRDefault="00FF5EBF" w:rsidP="00462A08">
            <w:pPr>
              <w:pStyle w:val="Sinespaciado"/>
              <w:jc w:val="both"/>
              <w:rPr>
                <w:rFonts w:ascii="Arial" w:hAnsi="Arial" w:cs="Arial"/>
                <w:b/>
                <w:bCs/>
                <w:sz w:val="24"/>
                <w:szCs w:val="24"/>
              </w:rPr>
            </w:pPr>
            <w:r>
              <w:rPr>
                <w:rFonts w:ascii="Arial" w:hAnsi="Arial" w:cs="Arial"/>
                <w:b/>
                <w:bCs/>
                <w:sz w:val="24"/>
                <w:szCs w:val="24"/>
              </w:rPr>
              <w:t>OBJETIVOS ESPECÍFICOS</w:t>
            </w:r>
          </w:p>
        </w:tc>
      </w:tr>
    </w:tbl>
    <w:p w14:paraId="59AE91FB" w14:textId="77777777" w:rsidR="00A815A2" w:rsidRDefault="00A815A2" w:rsidP="00304AD9">
      <w:pPr>
        <w:jc w:val="both"/>
        <w:rPr>
          <w:rFonts w:ascii="Arial" w:hAnsi="Arial" w:cs="Arial"/>
          <w:sz w:val="24"/>
          <w:szCs w:val="24"/>
        </w:rPr>
      </w:pPr>
    </w:p>
    <w:p w14:paraId="78BE08C7" w14:textId="186AF10F" w:rsidR="00304AD9" w:rsidRPr="00304AD9" w:rsidRDefault="00304AD9" w:rsidP="00304AD9">
      <w:pPr>
        <w:jc w:val="both"/>
        <w:rPr>
          <w:rFonts w:ascii="Arial" w:hAnsi="Arial" w:cs="Arial"/>
          <w:sz w:val="24"/>
          <w:szCs w:val="24"/>
        </w:rPr>
      </w:pPr>
      <w:r w:rsidRPr="00304AD9">
        <w:rPr>
          <w:rFonts w:ascii="Arial" w:hAnsi="Arial" w:cs="Arial"/>
          <w:sz w:val="24"/>
          <w:szCs w:val="24"/>
        </w:rPr>
        <w:t xml:space="preserve">1. Elaborar informes técnicos que muestren análisis descriptivos, redes y vínculos en la contratación estatal y de esta manera, identificar riesgos de desvíos de recursos públicos mediante la contratación estatal </w:t>
      </w:r>
    </w:p>
    <w:p w14:paraId="2D63A25F" w14:textId="77777777" w:rsidR="00304AD9" w:rsidRPr="00304AD9" w:rsidRDefault="00304AD9" w:rsidP="00304AD9">
      <w:pPr>
        <w:jc w:val="both"/>
        <w:rPr>
          <w:rFonts w:ascii="Arial" w:hAnsi="Arial" w:cs="Arial"/>
          <w:sz w:val="24"/>
          <w:szCs w:val="24"/>
        </w:rPr>
      </w:pPr>
      <w:r w:rsidRPr="00304AD9">
        <w:rPr>
          <w:rFonts w:ascii="Arial" w:hAnsi="Arial" w:cs="Arial"/>
          <w:sz w:val="24"/>
          <w:szCs w:val="24"/>
        </w:rPr>
        <w:t>2. Elaborar análisis sobre temáticas de coyuntura de acuerdo con las necesidades de la vigilancia de la gestión fiscal.</w:t>
      </w:r>
    </w:p>
    <w:p w14:paraId="6258D586" w14:textId="77777777" w:rsidR="00304AD9" w:rsidRPr="00304AD9" w:rsidRDefault="00304AD9" w:rsidP="00304AD9">
      <w:pPr>
        <w:jc w:val="both"/>
        <w:rPr>
          <w:rFonts w:ascii="Arial" w:hAnsi="Arial" w:cs="Arial"/>
          <w:sz w:val="24"/>
          <w:szCs w:val="24"/>
        </w:rPr>
      </w:pPr>
      <w:r w:rsidRPr="00304AD9">
        <w:rPr>
          <w:rFonts w:ascii="Arial" w:hAnsi="Arial" w:cs="Arial"/>
          <w:sz w:val="24"/>
          <w:szCs w:val="24"/>
        </w:rPr>
        <w:t>3. Identificar herramientas, buenas prácticas y casos de interés para mejorar el ejercicio del control fiscal en Colombia</w:t>
      </w:r>
    </w:p>
    <w:p w14:paraId="05046CAB" w14:textId="77777777" w:rsidR="00304AD9" w:rsidRPr="00304AD9" w:rsidRDefault="00304AD9" w:rsidP="00304AD9">
      <w:pPr>
        <w:jc w:val="both"/>
        <w:rPr>
          <w:rFonts w:ascii="Arial" w:hAnsi="Arial" w:cs="Arial"/>
          <w:sz w:val="24"/>
          <w:szCs w:val="24"/>
        </w:rPr>
      </w:pPr>
      <w:r w:rsidRPr="00304AD9">
        <w:rPr>
          <w:rFonts w:ascii="Arial" w:hAnsi="Arial" w:cs="Arial"/>
          <w:sz w:val="24"/>
          <w:szCs w:val="24"/>
        </w:rPr>
        <w:t>4. Propiciar espacios de apropiación y visibilidad de conocimiento, buenas prácticas lecciones aprendidas en los ámbitos internacional y nacional.</w:t>
      </w:r>
    </w:p>
    <w:p w14:paraId="15C9A0AF" w14:textId="77777777" w:rsidR="00304AD9" w:rsidRPr="00304AD9" w:rsidRDefault="00304AD9" w:rsidP="00304AD9">
      <w:pPr>
        <w:jc w:val="both"/>
        <w:rPr>
          <w:rFonts w:ascii="Arial" w:hAnsi="Arial" w:cs="Arial"/>
          <w:sz w:val="24"/>
          <w:szCs w:val="24"/>
        </w:rPr>
      </w:pPr>
      <w:r w:rsidRPr="00304AD9">
        <w:rPr>
          <w:rFonts w:ascii="Arial" w:hAnsi="Arial" w:cs="Arial"/>
          <w:sz w:val="24"/>
          <w:szCs w:val="24"/>
        </w:rPr>
        <w:t>5. Realizar mesas técnicas con las áreas misionales de acuerdo con sus necesidades de procesamiento, análisis y uso de datos e información estratégica del control fiscal.</w:t>
      </w:r>
    </w:p>
    <w:p w14:paraId="6C61CE81" w14:textId="732614C4" w:rsidR="00304AD9" w:rsidRPr="00304AD9" w:rsidRDefault="00304AD9" w:rsidP="00304AD9">
      <w:pPr>
        <w:jc w:val="both"/>
        <w:rPr>
          <w:rFonts w:ascii="Arial" w:hAnsi="Arial" w:cs="Arial"/>
          <w:sz w:val="24"/>
          <w:szCs w:val="24"/>
        </w:rPr>
      </w:pPr>
      <w:r w:rsidRPr="00304AD9">
        <w:rPr>
          <w:rFonts w:ascii="Arial" w:hAnsi="Arial" w:cs="Arial"/>
          <w:sz w:val="24"/>
          <w:szCs w:val="24"/>
        </w:rPr>
        <w:t>6. Visibilizar los productos de investigación y temáticas de interés para el control fiscal en la Revista Académica Institucional Control Visible.</w:t>
      </w:r>
    </w:p>
    <w:p w14:paraId="516B8E61" w14:textId="77777777" w:rsidR="00FF5EBF" w:rsidRPr="00EA4396" w:rsidRDefault="00FF5EBF" w:rsidP="00FF5EB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FF5EBF" w:rsidRPr="00EA4396" w14:paraId="4DBDB1C3" w14:textId="77777777" w:rsidTr="00462A08">
        <w:tc>
          <w:tcPr>
            <w:tcW w:w="8828" w:type="dxa"/>
            <w:shd w:val="clear" w:color="auto" w:fill="D9E2F3" w:themeFill="accent1" w:themeFillTint="33"/>
          </w:tcPr>
          <w:p w14:paraId="264204C5" w14:textId="748279C9" w:rsidR="00FF5EBF" w:rsidRPr="00EA4396" w:rsidRDefault="00FF5EBF" w:rsidP="00462A08">
            <w:pPr>
              <w:pStyle w:val="Sinespaciado"/>
              <w:jc w:val="both"/>
              <w:rPr>
                <w:rFonts w:ascii="Arial" w:hAnsi="Arial" w:cs="Arial"/>
                <w:b/>
                <w:bCs/>
                <w:sz w:val="24"/>
                <w:szCs w:val="24"/>
              </w:rPr>
            </w:pPr>
            <w:r>
              <w:rPr>
                <w:rFonts w:ascii="Arial" w:hAnsi="Arial" w:cs="Arial"/>
                <w:b/>
                <w:bCs/>
                <w:sz w:val="24"/>
                <w:szCs w:val="24"/>
              </w:rPr>
              <w:t>PLAN DE TRABAJO</w:t>
            </w:r>
          </w:p>
        </w:tc>
      </w:tr>
    </w:tbl>
    <w:p w14:paraId="1C325174" w14:textId="77777777" w:rsidR="00FF5EBF" w:rsidRPr="00EA4396" w:rsidRDefault="00FF5EBF" w:rsidP="00FF5EBF">
      <w:pPr>
        <w:pStyle w:val="Sinespaciado"/>
        <w:jc w:val="both"/>
        <w:rPr>
          <w:rFonts w:ascii="Arial" w:hAnsi="Arial" w:cs="Arial"/>
          <w:b/>
          <w:bCs/>
          <w:sz w:val="24"/>
          <w:szCs w:val="24"/>
        </w:rPr>
      </w:pPr>
    </w:p>
    <w:p w14:paraId="716DEB13" w14:textId="5C31882D" w:rsidR="00FF5EBF" w:rsidRDefault="001C25F9" w:rsidP="00FF5EBF">
      <w:pPr>
        <w:pStyle w:val="Sinespaciado"/>
        <w:jc w:val="both"/>
        <w:rPr>
          <w:rFonts w:ascii="Arial" w:hAnsi="Arial" w:cs="Arial"/>
          <w:sz w:val="24"/>
          <w:szCs w:val="24"/>
        </w:rPr>
      </w:pPr>
      <w:r>
        <w:rPr>
          <w:rFonts w:ascii="Arial" w:hAnsi="Arial" w:cs="Arial"/>
          <w:sz w:val="24"/>
          <w:szCs w:val="24"/>
        </w:rPr>
        <w:t xml:space="preserve">Para la vigencia 2023, el Observatorio de Política Pública de Control Fiscal, ha encaminado su plan de trabajo en las siguientes líneas, </w:t>
      </w:r>
    </w:p>
    <w:p w14:paraId="049DD3D2" w14:textId="77777777" w:rsidR="001C25F9" w:rsidRDefault="001C25F9" w:rsidP="00FF5EBF">
      <w:pPr>
        <w:pStyle w:val="Sinespaciado"/>
        <w:jc w:val="both"/>
        <w:rPr>
          <w:rFonts w:ascii="Arial" w:hAnsi="Arial" w:cs="Arial"/>
          <w:sz w:val="24"/>
          <w:szCs w:val="24"/>
        </w:rPr>
      </w:pPr>
    </w:p>
    <w:p w14:paraId="45CEC5F4" w14:textId="594B5B41" w:rsidR="001C25F9" w:rsidRDefault="001C25F9" w:rsidP="001C25F9">
      <w:pPr>
        <w:pStyle w:val="Sinespaciado"/>
        <w:numPr>
          <w:ilvl w:val="0"/>
          <w:numId w:val="2"/>
        </w:numPr>
        <w:jc w:val="both"/>
        <w:rPr>
          <w:rFonts w:ascii="Arial" w:hAnsi="Arial" w:cs="Arial"/>
          <w:sz w:val="24"/>
          <w:szCs w:val="24"/>
        </w:rPr>
      </w:pPr>
      <w:r>
        <w:rPr>
          <w:rFonts w:ascii="Arial" w:hAnsi="Arial" w:cs="Arial"/>
          <w:sz w:val="24"/>
          <w:szCs w:val="24"/>
        </w:rPr>
        <w:t xml:space="preserve">Análisis de contratación. </w:t>
      </w:r>
    </w:p>
    <w:p w14:paraId="2EA3B45F" w14:textId="1C3E6D23" w:rsidR="001C25F9" w:rsidRDefault="001C25F9" w:rsidP="001C25F9">
      <w:pPr>
        <w:pStyle w:val="Sinespaciado"/>
        <w:numPr>
          <w:ilvl w:val="0"/>
          <w:numId w:val="2"/>
        </w:numPr>
        <w:jc w:val="both"/>
        <w:rPr>
          <w:rFonts w:ascii="Arial" w:hAnsi="Arial" w:cs="Arial"/>
          <w:sz w:val="24"/>
          <w:szCs w:val="24"/>
        </w:rPr>
      </w:pPr>
      <w:r>
        <w:rPr>
          <w:rFonts w:ascii="Arial" w:hAnsi="Arial" w:cs="Arial"/>
          <w:sz w:val="24"/>
          <w:szCs w:val="24"/>
        </w:rPr>
        <w:t xml:space="preserve">Análisis de coyuntura. </w:t>
      </w:r>
    </w:p>
    <w:p w14:paraId="302FD1EA" w14:textId="73CC3BC5" w:rsidR="001C25F9" w:rsidRDefault="001C25F9" w:rsidP="001C25F9">
      <w:pPr>
        <w:pStyle w:val="Sinespaciado"/>
        <w:numPr>
          <w:ilvl w:val="0"/>
          <w:numId w:val="2"/>
        </w:numPr>
        <w:jc w:val="both"/>
        <w:rPr>
          <w:rFonts w:ascii="Arial" w:hAnsi="Arial" w:cs="Arial"/>
          <w:sz w:val="24"/>
          <w:szCs w:val="24"/>
        </w:rPr>
      </w:pPr>
      <w:r>
        <w:rPr>
          <w:rFonts w:ascii="Arial" w:hAnsi="Arial" w:cs="Arial"/>
          <w:sz w:val="24"/>
          <w:szCs w:val="24"/>
        </w:rPr>
        <w:t>Caja de herramientas para el ejercicio de la vigilancia del control fiscal.</w:t>
      </w:r>
    </w:p>
    <w:p w14:paraId="00C2AC9A" w14:textId="79B495AF" w:rsidR="001C25F9" w:rsidRDefault="001C25F9" w:rsidP="001C25F9">
      <w:pPr>
        <w:pStyle w:val="Sinespaciado"/>
        <w:numPr>
          <w:ilvl w:val="0"/>
          <w:numId w:val="2"/>
        </w:numPr>
        <w:jc w:val="both"/>
        <w:rPr>
          <w:rFonts w:ascii="Arial" w:hAnsi="Arial" w:cs="Arial"/>
          <w:sz w:val="24"/>
          <w:szCs w:val="24"/>
        </w:rPr>
      </w:pPr>
      <w:r>
        <w:rPr>
          <w:rFonts w:ascii="Arial" w:hAnsi="Arial" w:cs="Arial"/>
          <w:sz w:val="24"/>
          <w:szCs w:val="24"/>
        </w:rPr>
        <w:t>Congreso internacional de control fiscal.</w:t>
      </w:r>
    </w:p>
    <w:p w14:paraId="5D74F0E1" w14:textId="77777777" w:rsidR="001C25F9" w:rsidRDefault="001C25F9" w:rsidP="001C25F9">
      <w:pPr>
        <w:pStyle w:val="Sinespaciado"/>
        <w:numPr>
          <w:ilvl w:val="0"/>
          <w:numId w:val="2"/>
        </w:numPr>
        <w:jc w:val="both"/>
        <w:rPr>
          <w:rFonts w:ascii="Arial" w:hAnsi="Arial" w:cs="Arial"/>
          <w:sz w:val="24"/>
          <w:szCs w:val="24"/>
        </w:rPr>
      </w:pPr>
      <w:r>
        <w:rPr>
          <w:rFonts w:ascii="Arial" w:hAnsi="Arial" w:cs="Arial"/>
          <w:sz w:val="24"/>
          <w:szCs w:val="24"/>
        </w:rPr>
        <w:t>Revista control visible.</w:t>
      </w:r>
    </w:p>
    <w:p w14:paraId="38F96D38" w14:textId="77777777" w:rsidR="00DB5CC1" w:rsidRDefault="001C25F9" w:rsidP="00DB5CC1">
      <w:pPr>
        <w:pStyle w:val="Sinespaciado"/>
        <w:numPr>
          <w:ilvl w:val="0"/>
          <w:numId w:val="2"/>
        </w:numPr>
        <w:jc w:val="both"/>
        <w:rPr>
          <w:rFonts w:ascii="Arial" w:hAnsi="Arial" w:cs="Arial"/>
          <w:sz w:val="24"/>
          <w:szCs w:val="24"/>
        </w:rPr>
      </w:pPr>
      <w:r>
        <w:rPr>
          <w:rFonts w:ascii="Arial" w:hAnsi="Arial" w:cs="Arial"/>
          <w:sz w:val="24"/>
          <w:szCs w:val="24"/>
        </w:rPr>
        <w:t xml:space="preserve">Agenda de investigación. </w:t>
      </w:r>
    </w:p>
    <w:p w14:paraId="6CE67907" w14:textId="77777777" w:rsidR="00DB5CC1" w:rsidRDefault="00DB5CC1" w:rsidP="00DB5CC1">
      <w:pPr>
        <w:pStyle w:val="Sinespaciado"/>
        <w:ind w:left="720"/>
        <w:jc w:val="both"/>
        <w:rPr>
          <w:rFonts w:ascii="Arial" w:hAnsi="Arial" w:cs="Arial"/>
          <w:sz w:val="24"/>
          <w:szCs w:val="24"/>
        </w:rPr>
      </w:pPr>
    </w:p>
    <w:p w14:paraId="27A60352" w14:textId="19FD4157" w:rsidR="00DB5CC1" w:rsidRPr="00DB5CC1" w:rsidRDefault="00DB5CC1" w:rsidP="00DB5CC1">
      <w:pPr>
        <w:pStyle w:val="Sinespaciado"/>
        <w:numPr>
          <w:ilvl w:val="1"/>
          <w:numId w:val="2"/>
        </w:numPr>
        <w:jc w:val="both"/>
        <w:rPr>
          <w:rFonts w:ascii="Arial" w:hAnsi="Arial" w:cs="Arial"/>
          <w:sz w:val="24"/>
          <w:szCs w:val="24"/>
        </w:rPr>
      </w:pPr>
      <w:r>
        <w:rPr>
          <w:rFonts w:ascii="Arial" w:hAnsi="Arial" w:cs="Arial"/>
          <w:sz w:val="24"/>
          <w:szCs w:val="24"/>
        </w:rPr>
        <w:lastRenderedPageBreak/>
        <w:t xml:space="preserve">Tema de interés: Medición de la calidad del control fiscal y de la vigilancia del control fiscal / Proyecto de investigación: </w:t>
      </w:r>
      <w:r w:rsidRPr="00DB5CC1">
        <w:rPr>
          <w:rFonts w:ascii="Arial" w:hAnsi="Arial" w:cs="Arial"/>
          <w:bCs/>
          <w:sz w:val="24"/>
          <w:szCs w:val="24"/>
        </w:rPr>
        <w:t>evaluación y análisis de los indicadores AUDITECT</w:t>
      </w:r>
      <w:r w:rsidRPr="007E1C37">
        <w:rPr>
          <w:rStyle w:val="Refdenotaalpie"/>
          <w:rFonts w:ascii="Arial" w:hAnsi="Arial" w:cs="Arial"/>
          <w:bCs/>
          <w:sz w:val="24"/>
          <w:szCs w:val="24"/>
        </w:rPr>
        <w:footnoteReference w:id="1"/>
      </w:r>
      <w:r>
        <w:rPr>
          <w:rFonts w:ascii="Arial" w:hAnsi="Arial" w:cs="Arial"/>
          <w:bCs/>
          <w:sz w:val="24"/>
          <w:szCs w:val="24"/>
        </w:rPr>
        <w:t>.</w:t>
      </w:r>
    </w:p>
    <w:p w14:paraId="274C5248" w14:textId="680DFBD0" w:rsidR="00DB5CC1" w:rsidRDefault="00DB5CC1" w:rsidP="00DB5CC1">
      <w:pPr>
        <w:pStyle w:val="Sinespaciado"/>
        <w:numPr>
          <w:ilvl w:val="1"/>
          <w:numId w:val="2"/>
        </w:numPr>
        <w:jc w:val="both"/>
        <w:rPr>
          <w:rFonts w:ascii="Arial" w:hAnsi="Arial" w:cs="Arial"/>
          <w:sz w:val="24"/>
          <w:szCs w:val="24"/>
        </w:rPr>
      </w:pPr>
      <w:r>
        <w:rPr>
          <w:rFonts w:ascii="Arial" w:hAnsi="Arial" w:cs="Arial"/>
          <w:sz w:val="24"/>
          <w:szCs w:val="24"/>
        </w:rPr>
        <w:t>Tema de interés</w:t>
      </w:r>
      <w:r>
        <w:rPr>
          <w:rFonts w:ascii="Arial" w:hAnsi="Arial" w:cs="Arial"/>
          <w:sz w:val="24"/>
          <w:szCs w:val="24"/>
        </w:rPr>
        <w:t>: insumos, mecanismos y herramientas para el ejercicio del control fiscal y la vigilancia del control fiscal / Proyectos de investigación: uso de datos en la vigilancia del control fiscal y redes de corrupción.</w:t>
      </w:r>
    </w:p>
    <w:p w14:paraId="1AF105C9" w14:textId="1B93D534" w:rsidR="00DB5CC1" w:rsidRDefault="00DB5CC1" w:rsidP="00DB5CC1">
      <w:pPr>
        <w:pStyle w:val="Sinespaciado"/>
        <w:numPr>
          <w:ilvl w:val="1"/>
          <w:numId w:val="2"/>
        </w:numPr>
        <w:jc w:val="both"/>
        <w:rPr>
          <w:rFonts w:ascii="Arial" w:hAnsi="Arial" w:cs="Arial"/>
          <w:sz w:val="24"/>
          <w:szCs w:val="24"/>
        </w:rPr>
      </w:pPr>
      <w:r>
        <w:rPr>
          <w:rFonts w:ascii="Arial" w:hAnsi="Arial" w:cs="Arial"/>
          <w:sz w:val="24"/>
          <w:szCs w:val="24"/>
        </w:rPr>
        <w:t>Tema de interés:</w:t>
      </w:r>
      <w:r>
        <w:rPr>
          <w:rFonts w:ascii="Arial" w:hAnsi="Arial" w:cs="Arial"/>
          <w:sz w:val="24"/>
          <w:szCs w:val="24"/>
        </w:rPr>
        <w:t xml:space="preserve"> gestión fiscal, control fiscal y vigilancia del control fiscal y su relación con el goce efectivo de derechos / proyecto de investigación: participación ciudadana, gestión fiscal y vigilancia del control fiscal. </w:t>
      </w:r>
    </w:p>
    <w:p w14:paraId="28E02960" w14:textId="4893819A" w:rsidR="001C25F9" w:rsidRPr="00DB5CC1" w:rsidRDefault="00DB5CC1" w:rsidP="001C25F9">
      <w:pPr>
        <w:pStyle w:val="Sinespaciado"/>
        <w:numPr>
          <w:ilvl w:val="1"/>
          <w:numId w:val="2"/>
        </w:numPr>
        <w:jc w:val="both"/>
        <w:rPr>
          <w:rFonts w:ascii="Arial" w:hAnsi="Arial" w:cs="Arial"/>
          <w:sz w:val="24"/>
          <w:szCs w:val="24"/>
        </w:rPr>
      </w:pPr>
      <w:r>
        <w:rPr>
          <w:rFonts w:ascii="Arial" w:hAnsi="Arial" w:cs="Arial"/>
          <w:sz w:val="24"/>
          <w:szCs w:val="24"/>
        </w:rPr>
        <w:t xml:space="preserve">Tema de interés: </w:t>
      </w:r>
      <w:r>
        <w:rPr>
          <w:rFonts w:ascii="Arial" w:hAnsi="Arial" w:cs="Arial"/>
          <w:sz w:val="24"/>
          <w:szCs w:val="24"/>
        </w:rPr>
        <w:t xml:space="preserve">Dogmática, jurisprudencia y doctrina sobre control fiscal y vigilancia del control fiscal. </w:t>
      </w:r>
    </w:p>
    <w:p w14:paraId="714857FA" w14:textId="77777777" w:rsidR="00FF5EBF" w:rsidRPr="00EA4396" w:rsidRDefault="00FF5EBF" w:rsidP="00FF5EB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FF5EBF" w:rsidRPr="00EA4396" w14:paraId="3CC9854A" w14:textId="77777777" w:rsidTr="00462A08">
        <w:tc>
          <w:tcPr>
            <w:tcW w:w="8828" w:type="dxa"/>
            <w:shd w:val="clear" w:color="auto" w:fill="D9E2F3" w:themeFill="accent1" w:themeFillTint="33"/>
          </w:tcPr>
          <w:p w14:paraId="7F641012" w14:textId="31E0DC57" w:rsidR="00FF5EBF" w:rsidRPr="00EA4396" w:rsidRDefault="00FF5EBF" w:rsidP="00462A08">
            <w:pPr>
              <w:pStyle w:val="Sinespaciado"/>
              <w:jc w:val="both"/>
              <w:rPr>
                <w:rFonts w:ascii="Arial" w:hAnsi="Arial" w:cs="Arial"/>
                <w:b/>
                <w:bCs/>
                <w:sz w:val="24"/>
                <w:szCs w:val="24"/>
              </w:rPr>
            </w:pPr>
            <w:r>
              <w:rPr>
                <w:rFonts w:ascii="Arial" w:hAnsi="Arial" w:cs="Arial"/>
                <w:b/>
                <w:bCs/>
                <w:sz w:val="24"/>
                <w:szCs w:val="24"/>
              </w:rPr>
              <w:t>CRONOGRAMA</w:t>
            </w:r>
          </w:p>
        </w:tc>
      </w:tr>
    </w:tbl>
    <w:p w14:paraId="5311E9EF" w14:textId="77777777" w:rsidR="00FF5EBF" w:rsidRDefault="00FF5EBF" w:rsidP="00FF5EBF">
      <w:pPr>
        <w:pStyle w:val="Sinespaciado"/>
        <w:jc w:val="both"/>
        <w:rPr>
          <w:rFonts w:ascii="Arial" w:hAnsi="Arial" w:cs="Arial"/>
          <w:sz w:val="24"/>
          <w:szCs w:val="24"/>
        </w:rPr>
      </w:pPr>
    </w:p>
    <w:p w14:paraId="6DEE2F46" w14:textId="1A78E357" w:rsidR="001C25F9" w:rsidRPr="001E27B6" w:rsidRDefault="001C25F9" w:rsidP="001E27B6">
      <w:pPr>
        <w:pStyle w:val="Sinespaciado"/>
        <w:jc w:val="both"/>
        <w:rPr>
          <w:rFonts w:ascii="Arial" w:hAnsi="Arial" w:cs="Arial"/>
          <w:sz w:val="24"/>
          <w:szCs w:val="24"/>
        </w:rPr>
      </w:pPr>
      <w:r>
        <w:rPr>
          <w:rFonts w:ascii="Arial" w:hAnsi="Arial" w:cs="Arial"/>
          <w:sz w:val="24"/>
          <w:szCs w:val="24"/>
        </w:rPr>
        <w:t xml:space="preserve">Se adjunta el cronograma con las líneas de trabajo para la vigencia, los productos esperados, los responsables y las fechas de entrega. </w:t>
      </w:r>
    </w:p>
    <w:p w14:paraId="457A564E" w14:textId="77777777" w:rsidR="00FF5EBF" w:rsidRPr="00EA4396" w:rsidRDefault="00FF5EBF" w:rsidP="00FF5EB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FF5EBF" w:rsidRPr="00EA4396" w14:paraId="214A0968" w14:textId="77777777" w:rsidTr="00462A08">
        <w:tc>
          <w:tcPr>
            <w:tcW w:w="8828" w:type="dxa"/>
            <w:shd w:val="clear" w:color="auto" w:fill="D9E2F3" w:themeFill="accent1" w:themeFillTint="33"/>
          </w:tcPr>
          <w:p w14:paraId="014DD0A5" w14:textId="47DCD9A2" w:rsidR="00FF5EBF" w:rsidRPr="00EA4396" w:rsidRDefault="00FF5EBF" w:rsidP="00462A08">
            <w:pPr>
              <w:pStyle w:val="Sinespaciado"/>
              <w:jc w:val="both"/>
              <w:rPr>
                <w:rFonts w:ascii="Arial" w:hAnsi="Arial" w:cs="Arial"/>
                <w:b/>
                <w:bCs/>
                <w:sz w:val="24"/>
                <w:szCs w:val="24"/>
              </w:rPr>
            </w:pPr>
            <w:r>
              <w:rPr>
                <w:rFonts w:ascii="Arial" w:hAnsi="Arial" w:cs="Arial"/>
                <w:b/>
                <w:bCs/>
                <w:sz w:val="24"/>
                <w:szCs w:val="24"/>
              </w:rPr>
              <w:t>INFORMES DE RESULTADOS Y METAS ALCANZADAS.</w:t>
            </w:r>
          </w:p>
        </w:tc>
      </w:tr>
    </w:tbl>
    <w:p w14:paraId="7765A69A" w14:textId="77777777" w:rsidR="00A815A2" w:rsidRDefault="00A815A2" w:rsidP="001E27B6">
      <w:pPr>
        <w:jc w:val="both"/>
        <w:rPr>
          <w:rFonts w:ascii="Arial" w:hAnsi="Arial" w:cs="Arial"/>
          <w:sz w:val="24"/>
          <w:szCs w:val="24"/>
        </w:rPr>
      </w:pPr>
    </w:p>
    <w:p w14:paraId="1948CFB3" w14:textId="1923399B" w:rsidR="001E27B6" w:rsidRPr="001E27B6" w:rsidRDefault="001E27B6" w:rsidP="001E27B6">
      <w:pPr>
        <w:jc w:val="both"/>
        <w:rPr>
          <w:rFonts w:ascii="Arial" w:hAnsi="Arial" w:cs="Arial"/>
          <w:sz w:val="24"/>
          <w:szCs w:val="24"/>
        </w:rPr>
      </w:pPr>
      <w:r>
        <w:rPr>
          <w:rFonts w:ascii="Arial" w:hAnsi="Arial" w:cs="Arial"/>
          <w:sz w:val="24"/>
          <w:szCs w:val="24"/>
        </w:rPr>
        <w:t xml:space="preserve">Como consecuencia de lo anterior, se proyecta para la vigencia 2023, la consolidación de las siguientes metas: </w:t>
      </w:r>
    </w:p>
    <w:p w14:paraId="2A13D4E8" w14:textId="0CC77B64" w:rsidR="001E27B6" w:rsidRDefault="001E27B6" w:rsidP="001E27B6">
      <w:pPr>
        <w:jc w:val="both"/>
        <w:rPr>
          <w:rFonts w:ascii="Arial" w:hAnsi="Arial" w:cs="Arial"/>
          <w:sz w:val="24"/>
          <w:szCs w:val="24"/>
        </w:rPr>
      </w:pPr>
      <w:r>
        <w:rPr>
          <w:rFonts w:ascii="Arial" w:hAnsi="Arial" w:cs="Arial"/>
          <w:sz w:val="24"/>
          <w:szCs w:val="24"/>
        </w:rPr>
        <w:t xml:space="preserve">- </w:t>
      </w:r>
      <w:r w:rsidR="00A815A2">
        <w:rPr>
          <w:rFonts w:ascii="Arial" w:hAnsi="Arial" w:cs="Arial"/>
          <w:sz w:val="24"/>
          <w:szCs w:val="24"/>
        </w:rPr>
        <w:t>seis (</w:t>
      </w:r>
      <w:r>
        <w:rPr>
          <w:rFonts w:ascii="Arial" w:hAnsi="Arial" w:cs="Arial"/>
          <w:sz w:val="24"/>
          <w:szCs w:val="24"/>
        </w:rPr>
        <w:t>6</w:t>
      </w:r>
      <w:r w:rsidR="00A815A2">
        <w:rPr>
          <w:rFonts w:ascii="Arial" w:hAnsi="Arial" w:cs="Arial"/>
          <w:sz w:val="24"/>
          <w:szCs w:val="24"/>
        </w:rPr>
        <w:t>)</w:t>
      </w:r>
      <w:r>
        <w:rPr>
          <w:rFonts w:ascii="Arial" w:hAnsi="Arial" w:cs="Arial"/>
          <w:sz w:val="24"/>
          <w:szCs w:val="24"/>
        </w:rPr>
        <w:t xml:space="preserve"> informes de análisis de contratación. </w:t>
      </w:r>
    </w:p>
    <w:p w14:paraId="227B8064" w14:textId="34057378" w:rsidR="001E27B6" w:rsidRDefault="001E27B6" w:rsidP="001E27B6">
      <w:pPr>
        <w:jc w:val="both"/>
        <w:rPr>
          <w:rFonts w:ascii="Arial" w:hAnsi="Arial" w:cs="Arial"/>
          <w:sz w:val="24"/>
          <w:szCs w:val="24"/>
        </w:rPr>
      </w:pPr>
      <w:r>
        <w:rPr>
          <w:rFonts w:ascii="Arial" w:hAnsi="Arial" w:cs="Arial"/>
          <w:sz w:val="24"/>
          <w:szCs w:val="24"/>
        </w:rPr>
        <w:t xml:space="preserve">- </w:t>
      </w:r>
      <w:r w:rsidR="00A815A2">
        <w:rPr>
          <w:rFonts w:ascii="Arial" w:hAnsi="Arial" w:cs="Arial"/>
          <w:sz w:val="24"/>
          <w:szCs w:val="24"/>
        </w:rPr>
        <w:t>un (</w:t>
      </w:r>
      <w:r>
        <w:rPr>
          <w:rFonts w:ascii="Arial" w:hAnsi="Arial" w:cs="Arial"/>
          <w:sz w:val="24"/>
          <w:szCs w:val="24"/>
        </w:rPr>
        <w:t>1</w:t>
      </w:r>
      <w:r w:rsidR="00A815A2">
        <w:rPr>
          <w:rFonts w:ascii="Arial" w:hAnsi="Arial" w:cs="Arial"/>
          <w:sz w:val="24"/>
          <w:szCs w:val="24"/>
        </w:rPr>
        <w:t>)</w:t>
      </w:r>
      <w:r>
        <w:rPr>
          <w:rFonts w:ascii="Arial" w:hAnsi="Arial" w:cs="Arial"/>
          <w:sz w:val="24"/>
          <w:szCs w:val="24"/>
        </w:rPr>
        <w:t xml:space="preserve"> informe de análisis de coyuntura. </w:t>
      </w:r>
    </w:p>
    <w:p w14:paraId="1F795EF6" w14:textId="5AF22875" w:rsidR="001E27B6" w:rsidRDefault="001E27B6" w:rsidP="001E27B6">
      <w:pPr>
        <w:jc w:val="both"/>
        <w:rPr>
          <w:rFonts w:ascii="Arial" w:hAnsi="Arial" w:cs="Arial"/>
          <w:sz w:val="24"/>
          <w:szCs w:val="24"/>
        </w:rPr>
      </w:pPr>
      <w:r>
        <w:rPr>
          <w:rFonts w:ascii="Arial" w:hAnsi="Arial" w:cs="Arial"/>
          <w:sz w:val="24"/>
          <w:szCs w:val="24"/>
        </w:rPr>
        <w:t xml:space="preserve">- </w:t>
      </w:r>
      <w:r w:rsidR="00A815A2">
        <w:rPr>
          <w:rFonts w:ascii="Arial" w:hAnsi="Arial" w:cs="Arial"/>
          <w:sz w:val="24"/>
          <w:szCs w:val="24"/>
        </w:rPr>
        <w:t>un (</w:t>
      </w:r>
      <w:r>
        <w:rPr>
          <w:rFonts w:ascii="Arial" w:hAnsi="Arial" w:cs="Arial"/>
          <w:sz w:val="24"/>
          <w:szCs w:val="24"/>
        </w:rPr>
        <w:t>1</w:t>
      </w:r>
      <w:r w:rsidR="00A815A2">
        <w:rPr>
          <w:rFonts w:ascii="Arial" w:hAnsi="Arial" w:cs="Arial"/>
          <w:sz w:val="24"/>
          <w:szCs w:val="24"/>
        </w:rPr>
        <w:t>)</w:t>
      </w:r>
      <w:r>
        <w:rPr>
          <w:rFonts w:ascii="Arial" w:hAnsi="Arial" w:cs="Arial"/>
          <w:sz w:val="24"/>
          <w:szCs w:val="24"/>
        </w:rPr>
        <w:t xml:space="preserve"> </w:t>
      </w:r>
      <w:r w:rsidR="00164FE9">
        <w:rPr>
          <w:rFonts w:ascii="Arial" w:hAnsi="Arial" w:cs="Arial"/>
          <w:sz w:val="24"/>
          <w:szCs w:val="24"/>
        </w:rPr>
        <w:t>publicación</w:t>
      </w:r>
      <w:r>
        <w:rPr>
          <w:rFonts w:ascii="Arial" w:hAnsi="Arial" w:cs="Arial"/>
          <w:sz w:val="24"/>
          <w:szCs w:val="24"/>
        </w:rPr>
        <w:t xml:space="preserve"> de la caja de herramientas con 10 estudios de caso.</w:t>
      </w:r>
    </w:p>
    <w:p w14:paraId="682382BF" w14:textId="2ED2AA1B" w:rsidR="001E27B6" w:rsidRDefault="001E27B6" w:rsidP="00164FE9">
      <w:pPr>
        <w:jc w:val="both"/>
        <w:rPr>
          <w:rFonts w:ascii="Arial" w:hAnsi="Arial" w:cs="Arial"/>
          <w:sz w:val="24"/>
          <w:szCs w:val="24"/>
        </w:rPr>
      </w:pPr>
      <w:r>
        <w:rPr>
          <w:rFonts w:ascii="Arial" w:hAnsi="Arial" w:cs="Arial"/>
          <w:sz w:val="24"/>
          <w:szCs w:val="24"/>
        </w:rPr>
        <w:t xml:space="preserve">- </w:t>
      </w:r>
      <w:r w:rsidR="00164FE9">
        <w:rPr>
          <w:rFonts w:ascii="Arial" w:hAnsi="Arial" w:cs="Arial"/>
          <w:sz w:val="24"/>
          <w:szCs w:val="24"/>
        </w:rPr>
        <w:t>Hallazgos y actividades derivadas de</w:t>
      </w:r>
      <w:r>
        <w:rPr>
          <w:rFonts w:ascii="Arial" w:hAnsi="Arial" w:cs="Arial"/>
          <w:sz w:val="24"/>
          <w:szCs w:val="24"/>
        </w:rPr>
        <w:t xml:space="preserve"> </w:t>
      </w:r>
      <w:r w:rsidR="00A815A2">
        <w:rPr>
          <w:rFonts w:ascii="Arial" w:hAnsi="Arial" w:cs="Arial"/>
          <w:sz w:val="24"/>
          <w:szCs w:val="24"/>
        </w:rPr>
        <w:t xml:space="preserve">dos </w:t>
      </w:r>
      <w:r>
        <w:rPr>
          <w:rFonts w:ascii="Arial" w:hAnsi="Arial" w:cs="Arial"/>
          <w:sz w:val="24"/>
          <w:szCs w:val="24"/>
        </w:rPr>
        <w:t>(2) mesas técnicas</w:t>
      </w:r>
      <w:r w:rsidR="00164FE9">
        <w:rPr>
          <w:rFonts w:ascii="Arial" w:hAnsi="Arial" w:cs="Arial"/>
          <w:sz w:val="24"/>
          <w:szCs w:val="24"/>
        </w:rPr>
        <w:t xml:space="preserve"> con áreas misionales de la Auditoría General de la República</w:t>
      </w:r>
      <w:r>
        <w:rPr>
          <w:rFonts w:ascii="Arial" w:hAnsi="Arial" w:cs="Arial"/>
          <w:sz w:val="24"/>
          <w:szCs w:val="24"/>
        </w:rPr>
        <w:t xml:space="preserve">: </w:t>
      </w:r>
      <w:r w:rsidR="00164FE9">
        <w:rPr>
          <w:rFonts w:ascii="Arial" w:hAnsi="Arial" w:cs="Arial"/>
          <w:sz w:val="24"/>
          <w:szCs w:val="24"/>
        </w:rPr>
        <w:t>Proceso auditor y responsabilidad fiscal y jurisdicción coactiva.</w:t>
      </w:r>
    </w:p>
    <w:p w14:paraId="4D16578A" w14:textId="672A1364" w:rsidR="00164FE9" w:rsidRDefault="00164FE9" w:rsidP="00164FE9">
      <w:pPr>
        <w:jc w:val="both"/>
        <w:rPr>
          <w:rFonts w:ascii="Arial" w:hAnsi="Arial" w:cs="Arial"/>
          <w:sz w:val="24"/>
          <w:szCs w:val="24"/>
        </w:rPr>
      </w:pPr>
      <w:r>
        <w:rPr>
          <w:rFonts w:ascii="Arial" w:hAnsi="Arial" w:cs="Arial"/>
          <w:sz w:val="24"/>
          <w:szCs w:val="24"/>
        </w:rPr>
        <w:t xml:space="preserve">- </w:t>
      </w:r>
      <w:r w:rsidR="00A815A2">
        <w:rPr>
          <w:rFonts w:ascii="Arial" w:hAnsi="Arial" w:cs="Arial"/>
          <w:sz w:val="24"/>
          <w:szCs w:val="24"/>
        </w:rPr>
        <w:t>un (</w:t>
      </w:r>
      <w:r>
        <w:rPr>
          <w:rFonts w:ascii="Arial" w:hAnsi="Arial" w:cs="Arial"/>
          <w:sz w:val="24"/>
          <w:szCs w:val="24"/>
        </w:rPr>
        <w:t>1</w:t>
      </w:r>
      <w:r w:rsidR="00A815A2">
        <w:rPr>
          <w:rFonts w:ascii="Arial" w:hAnsi="Arial" w:cs="Arial"/>
          <w:sz w:val="24"/>
          <w:szCs w:val="24"/>
        </w:rPr>
        <w:t>)</w:t>
      </w:r>
      <w:r>
        <w:rPr>
          <w:rFonts w:ascii="Arial" w:hAnsi="Arial" w:cs="Arial"/>
          <w:sz w:val="24"/>
          <w:szCs w:val="24"/>
        </w:rPr>
        <w:t xml:space="preserve"> Congreso internacional de control fiscal. </w:t>
      </w:r>
    </w:p>
    <w:p w14:paraId="03AEB01E" w14:textId="52A7AED2" w:rsidR="00FF5EBF" w:rsidRPr="00164FE9" w:rsidRDefault="00164FE9" w:rsidP="00164FE9">
      <w:pPr>
        <w:jc w:val="both"/>
        <w:rPr>
          <w:rFonts w:ascii="Arial" w:hAnsi="Arial" w:cs="Arial"/>
          <w:sz w:val="24"/>
          <w:szCs w:val="24"/>
        </w:rPr>
      </w:pPr>
      <w:r>
        <w:rPr>
          <w:rFonts w:ascii="Arial" w:hAnsi="Arial" w:cs="Arial"/>
          <w:sz w:val="24"/>
          <w:szCs w:val="24"/>
        </w:rPr>
        <w:t xml:space="preserve">- </w:t>
      </w:r>
      <w:r w:rsidR="00A815A2">
        <w:rPr>
          <w:rFonts w:ascii="Arial" w:hAnsi="Arial" w:cs="Arial"/>
          <w:sz w:val="24"/>
          <w:szCs w:val="24"/>
        </w:rPr>
        <w:t>un (</w:t>
      </w:r>
      <w:r>
        <w:rPr>
          <w:rFonts w:ascii="Arial" w:hAnsi="Arial" w:cs="Arial"/>
          <w:sz w:val="24"/>
          <w:szCs w:val="24"/>
        </w:rPr>
        <w:t>1</w:t>
      </w:r>
      <w:r w:rsidR="00A815A2">
        <w:rPr>
          <w:rFonts w:ascii="Arial" w:hAnsi="Arial" w:cs="Arial"/>
          <w:sz w:val="24"/>
          <w:szCs w:val="24"/>
        </w:rPr>
        <w:t>)</w:t>
      </w:r>
      <w:r>
        <w:rPr>
          <w:rFonts w:ascii="Arial" w:hAnsi="Arial" w:cs="Arial"/>
          <w:sz w:val="24"/>
          <w:szCs w:val="24"/>
        </w:rPr>
        <w:t xml:space="preserve"> número publicado de la revista control visible. </w:t>
      </w:r>
    </w:p>
    <w:p w14:paraId="68B56FD2" w14:textId="77777777" w:rsidR="00FF5EBF" w:rsidRPr="00EA4396" w:rsidRDefault="00FF5EBF" w:rsidP="00FF5EB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FF5EBF" w:rsidRPr="00EA4396" w14:paraId="0AFABAEE" w14:textId="77777777" w:rsidTr="00462A08">
        <w:tc>
          <w:tcPr>
            <w:tcW w:w="8828" w:type="dxa"/>
            <w:shd w:val="clear" w:color="auto" w:fill="D9E2F3" w:themeFill="accent1" w:themeFillTint="33"/>
          </w:tcPr>
          <w:p w14:paraId="138FB40B" w14:textId="6C702888" w:rsidR="00FF5EBF" w:rsidRPr="00EA4396" w:rsidRDefault="00FF5EBF" w:rsidP="00462A08">
            <w:pPr>
              <w:pStyle w:val="Sinespaciado"/>
              <w:jc w:val="both"/>
              <w:rPr>
                <w:rFonts w:ascii="Arial" w:hAnsi="Arial" w:cs="Arial"/>
                <w:b/>
                <w:bCs/>
                <w:sz w:val="24"/>
                <w:szCs w:val="24"/>
              </w:rPr>
            </w:pPr>
            <w:r>
              <w:rPr>
                <w:rFonts w:ascii="Arial" w:hAnsi="Arial" w:cs="Arial"/>
                <w:b/>
                <w:bCs/>
                <w:sz w:val="24"/>
                <w:szCs w:val="24"/>
              </w:rPr>
              <w:t>ANEXOS</w:t>
            </w:r>
          </w:p>
        </w:tc>
      </w:tr>
    </w:tbl>
    <w:p w14:paraId="01849AB9" w14:textId="33063D0B" w:rsidR="00FF5EBF" w:rsidRPr="001E27B6" w:rsidRDefault="001E27B6" w:rsidP="00FF5EBF">
      <w:r w:rsidRPr="001E27B6">
        <w:rPr>
          <w:rFonts w:ascii="Arial" w:hAnsi="Arial" w:cs="Arial"/>
          <w:sz w:val="24"/>
          <w:szCs w:val="24"/>
        </w:rPr>
        <w:t>Cronograma del plan anual de i</w:t>
      </w:r>
      <w:r>
        <w:rPr>
          <w:rFonts w:ascii="Arial" w:hAnsi="Arial" w:cs="Arial"/>
          <w:sz w:val="24"/>
          <w:szCs w:val="24"/>
        </w:rPr>
        <w:t xml:space="preserve">nvestigación. </w:t>
      </w:r>
      <w:r w:rsidRPr="001E27B6">
        <w:rPr>
          <w:rFonts w:ascii="Arial" w:hAnsi="Arial" w:cs="Arial"/>
          <w:sz w:val="24"/>
          <w:szCs w:val="24"/>
        </w:rPr>
        <w:t xml:space="preserve"> </w:t>
      </w:r>
    </w:p>
    <w:sectPr w:rsidR="00FF5EBF" w:rsidRPr="001E27B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D6F8" w14:textId="77777777" w:rsidR="009C6F42" w:rsidRDefault="009C6F42" w:rsidP="00DB5CC1">
      <w:pPr>
        <w:spacing w:after="0" w:line="240" w:lineRule="auto"/>
      </w:pPr>
      <w:r>
        <w:separator/>
      </w:r>
    </w:p>
  </w:endnote>
  <w:endnote w:type="continuationSeparator" w:id="0">
    <w:p w14:paraId="4E385083" w14:textId="77777777" w:rsidR="009C6F42" w:rsidRDefault="009C6F42" w:rsidP="00DB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B781" w14:textId="77777777" w:rsidR="009C6F42" w:rsidRDefault="009C6F42" w:rsidP="00DB5CC1">
      <w:pPr>
        <w:spacing w:after="0" w:line="240" w:lineRule="auto"/>
      </w:pPr>
      <w:r>
        <w:separator/>
      </w:r>
    </w:p>
  </w:footnote>
  <w:footnote w:type="continuationSeparator" w:id="0">
    <w:p w14:paraId="52B75DE3" w14:textId="77777777" w:rsidR="009C6F42" w:rsidRDefault="009C6F42" w:rsidP="00DB5CC1">
      <w:pPr>
        <w:spacing w:after="0" w:line="240" w:lineRule="auto"/>
      </w:pPr>
      <w:r>
        <w:continuationSeparator/>
      </w:r>
    </w:p>
  </w:footnote>
  <w:footnote w:id="1">
    <w:p w14:paraId="7060AD6D" w14:textId="77777777" w:rsidR="00DB5CC1" w:rsidRPr="007E1C37" w:rsidRDefault="00DB5CC1" w:rsidP="00DB5CC1">
      <w:pPr>
        <w:pStyle w:val="Textonotapie"/>
        <w:jc w:val="both"/>
        <w:rPr>
          <w:rFonts w:ascii="Arial" w:hAnsi="Arial" w:cs="Arial"/>
        </w:rPr>
      </w:pPr>
      <w:r w:rsidRPr="007E1C37">
        <w:rPr>
          <w:rStyle w:val="Refdenotaalpie"/>
          <w:rFonts w:ascii="Arial" w:hAnsi="Arial" w:cs="Arial"/>
        </w:rPr>
        <w:footnoteRef/>
      </w:r>
      <w:r w:rsidRPr="007E1C37">
        <w:rPr>
          <w:rFonts w:ascii="Arial" w:hAnsi="Arial" w:cs="Arial"/>
        </w:rPr>
        <w:t xml:space="preserve"> </w:t>
      </w:r>
      <w:r w:rsidRPr="007E1C37">
        <w:rPr>
          <w:rFonts w:ascii="Arial" w:hAnsi="Arial" w:cs="Arial"/>
          <w:color w:val="202124"/>
          <w:shd w:val="clear" w:color="auto" w:fill="FFFFFF"/>
        </w:rPr>
        <w:t>Índice de Desempeño Integral que mide anualmente la gestión de las contralorías territoriales de acuerdo con los criterios e indicadores definidos por la Auditoría General de la República, de acuerdo con el Decreto Ley 403 de 2020</w:t>
      </w:r>
      <w:r>
        <w:rPr>
          <w:rFonts w:ascii="Arial" w:hAnsi="Arial" w:cs="Arial"/>
          <w:color w:val="202124"/>
          <w:shd w:val="clear" w:color="auto" w:fill="FFFFFF"/>
        </w:rPr>
        <w:t xml:space="preserve">. Consulta la metodología aquí: </w:t>
      </w:r>
      <w:hyperlink r:id="rId1" w:history="1">
        <w:r w:rsidRPr="001B4E4A">
          <w:rPr>
            <w:rStyle w:val="Hipervnculo"/>
            <w:rFonts w:ascii="Arial" w:hAnsi="Arial" w:cs="Arial"/>
            <w:sz w:val="18"/>
            <w:shd w:val="clear" w:color="auto" w:fill="FFFFFF"/>
          </w:rPr>
          <w:t>https://auditoria.gov.co/documents/20123/952857/METODOLOGI%CC%81A+PARA+LA+CERTIFICACIO%CC%81N+ANUAL+DE+CONTRALORI%CC%81AS+TERRITORIALES+F+-+Versio%CC%81n+4.1+-+2022.pdf/34571b62-5dfa-7d69-0624-c3f412bf1d47?t=1676475611986</w:t>
        </w:r>
      </w:hyperlink>
      <w:r w:rsidRPr="001B4E4A">
        <w:rPr>
          <w:rFonts w:ascii="Arial" w:hAnsi="Arial" w:cs="Arial"/>
          <w:color w:val="202124"/>
          <w:sz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40EB0"/>
    <w:multiLevelType w:val="multilevel"/>
    <w:tmpl w:val="C85291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617355A2"/>
    <w:multiLevelType w:val="multilevel"/>
    <w:tmpl w:val="D31ECF92"/>
    <w:lvl w:ilvl="0">
      <w:start w:val="6"/>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E272E96"/>
    <w:multiLevelType w:val="hybridMultilevel"/>
    <w:tmpl w:val="4B1830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93190292">
    <w:abstractNumId w:val="2"/>
  </w:num>
  <w:num w:numId="2" w16cid:durableId="1673870608">
    <w:abstractNumId w:val="0"/>
  </w:num>
  <w:num w:numId="3" w16cid:durableId="1225795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BF"/>
    <w:rsid w:val="00107345"/>
    <w:rsid w:val="00164FE9"/>
    <w:rsid w:val="001C25F9"/>
    <w:rsid w:val="001E27B6"/>
    <w:rsid w:val="00222D97"/>
    <w:rsid w:val="00222EF4"/>
    <w:rsid w:val="00304AD9"/>
    <w:rsid w:val="00953F91"/>
    <w:rsid w:val="009C6F42"/>
    <w:rsid w:val="00A815A2"/>
    <w:rsid w:val="00B1299F"/>
    <w:rsid w:val="00B81E4E"/>
    <w:rsid w:val="00BF19E5"/>
    <w:rsid w:val="00CA6A9F"/>
    <w:rsid w:val="00DB5CC1"/>
    <w:rsid w:val="00F84D10"/>
    <w:rsid w:val="00FF5E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F25B"/>
  <w15:chartTrackingRefBased/>
  <w15:docId w15:val="{5E6D6CB3-2013-4074-ADA8-2922B903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BF"/>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5EBF"/>
    <w:pPr>
      <w:spacing w:after="0" w:line="240" w:lineRule="auto"/>
    </w:pPr>
    <w:rPr>
      <w:rFonts w:ascii="Calibri" w:eastAsia="Calibri" w:hAnsi="Calibri" w:cs="Times New Roman"/>
      <w:kern w:val="0"/>
      <w14:ligatures w14:val="none"/>
    </w:rPr>
  </w:style>
  <w:style w:type="paragraph" w:styleId="Prrafodelista">
    <w:name w:val="List Paragraph"/>
    <w:basedOn w:val="Normal"/>
    <w:uiPriority w:val="34"/>
    <w:qFormat/>
    <w:rsid w:val="00FF5EBF"/>
    <w:pPr>
      <w:ind w:left="720"/>
      <w:contextualSpacing/>
    </w:pPr>
    <w:rPr>
      <w:rFonts w:ascii="Calibri" w:eastAsia="Calibri" w:hAnsi="Calibri" w:cs="Times New Roman"/>
    </w:rPr>
  </w:style>
  <w:style w:type="table" w:styleId="Tablaconcuadrcula">
    <w:name w:val="Table Grid"/>
    <w:basedOn w:val="Tablanormal"/>
    <w:uiPriority w:val="39"/>
    <w:rsid w:val="00FF5EB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CC1"/>
    <w:rPr>
      <w:color w:val="0000FF"/>
      <w:u w:val="single"/>
    </w:rPr>
  </w:style>
  <w:style w:type="paragraph" w:styleId="Textonotapie">
    <w:name w:val="footnote text"/>
    <w:basedOn w:val="Normal"/>
    <w:link w:val="TextonotapieCar"/>
    <w:uiPriority w:val="99"/>
    <w:unhideWhenUsed/>
    <w:rsid w:val="00DB5CC1"/>
    <w:pPr>
      <w:spacing w:after="0" w:line="240" w:lineRule="auto"/>
    </w:pPr>
    <w:rPr>
      <w:rFonts w:ascii="Cambria" w:eastAsia="Cambria" w:hAnsi="Cambria" w:cs="Cambria"/>
      <w:sz w:val="20"/>
      <w:szCs w:val="20"/>
      <w:lang w:eastAsia="es-CO"/>
    </w:rPr>
  </w:style>
  <w:style w:type="character" w:customStyle="1" w:styleId="TextonotapieCar">
    <w:name w:val="Texto nota pie Car"/>
    <w:basedOn w:val="Fuentedeprrafopredeter"/>
    <w:link w:val="Textonotapie"/>
    <w:uiPriority w:val="99"/>
    <w:rsid w:val="00DB5CC1"/>
    <w:rPr>
      <w:rFonts w:ascii="Cambria" w:eastAsia="Cambria" w:hAnsi="Cambria" w:cs="Cambria"/>
      <w:kern w:val="0"/>
      <w:sz w:val="20"/>
      <w:szCs w:val="20"/>
      <w:lang w:eastAsia="es-CO"/>
      <w14:ligatures w14:val="none"/>
    </w:rPr>
  </w:style>
  <w:style w:type="character" w:styleId="Refdenotaalpie">
    <w:name w:val="footnote reference"/>
    <w:basedOn w:val="Fuentedeprrafopredeter"/>
    <w:uiPriority w:val="99"/>
    <w:semiHidden/>
    <w:unhideWhenUsed/>
    <w:rsid w:val="00DB5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uditoria.gov.co/documents/20123/952857/METODOLOGI%CC%81A+PARA+LA+CERTIFICACIO%CC%81N+ANUAL+DE+CONTRALORI%CC%81AS+TERRITORIALES+F+-+Versio%CC%81n+4.1+-+2022.pdf/34571b62-5dfa-7d69-0624-c3f412bf1d47?t=16764756119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GOMEZ JARAMILLO Gómez Jaramillo</dc:creator>
  <cp:keywords/>
  <dc:description/>
  <cp:lastModifiedBy>ALEJANDRO GOMEZ JARAMILLO Gómez Jaramillo</cp:lastModifiedBy>
  <cp:revision>12</cp:revision>
  <dcterms:created xsi:type="dcterms:W3CDTF">2023-05-11T12:37:00Z</dcterms:created>
  <dcterms:modified xsi:type="dcterms:W3CDTF">2023-05-11T13:34:00Z</dcterms:modified>
</cp:coreProperties>
</file>