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D5A4" w14:textId="3BB97190" w:rsidR="00EE0A17" w:rsidRPr="00F3383D" w:rsidRDefault="00EE0A17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</w:rPr>
        <w:t>PRIMERA</w:t>
      </w:r>
      <w:r w:rsidR="00846D59" w:rsidRPr="00F3383D">
        <w:rPr>
          <w:rFonts w:ascii="Times New Roman" w:eastAsia="Calibri" w:hAnsi="Times New Roman" w:cs="Times New Roman"/>
          <w:b/>
          <w:sz w:val="24"/>
          <w:szCs w:val="24"/>
        </w:rPr>
        <w:t xml:space="preserve"> CONVOCATORIA INTERNA </w:t>
      </w:r>
      <w:r w:rsidRPr="00F3383D">
        <w:rPr>
          <w:rFonts w:ascii="Times New Roman" w:eastAsia="Calibri" w:hAnsi="Times New Roman" w:cs="Times New Roman"/>
          <w:b/>
          <w:sz w:val="24"/>
          <w:szCs w:val="24"/>
        </w:rPr>
        <w:t>DE VINCULACIÓN</w:t>
      </w:r>
      <w:r w:rsidR="00616C6A" w:rsidRPr="00F3383D">
        <w:rPr>
          <w:rFonts w:ascii="Times New Roman" w:eastAsia="Calibri" w:hAnsi="Times New Roman" w:cs="Times New Roman"/>
          <w:b/>
          <w:sz w:val="24"/>
          <w:szCs w:val="24"/>
        </w:rPr>
        <w:t xml:space="preserve"> Y PERMANENCIA</w:t>
      </w:r>
      <w:r w:rsidRPr="00F3383D">
        <w:rPr>
          <w:rFonts w:ascii="Times New Roman" w:eastAsia="Calibri" w:hAnsi="Times New Roman" w:cs="Times New Roman"/>
          <w:b/>
          <w:sz w:val="24"/>
          <w:szCs w:val="24"/>
        </w:rPr>
        <w:t xml:space="preserve"> AL OBSERVATORIO DE POLÍTICA PÚBLICA DEL CONTROL FISCAL DE LA AUDITORÍA GENERAL DE LA REPÚBLICA</w:t>
      </w:r>
    </w:p>
    <w:p w14:paraId="71622E76" w14:textId="2665F647" w:rsidR="003064AB" w:rsidRPr="00F3383D" w:rsidRDefault="00846D59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</w:p>
    <w:p w14:paraId="5E9D5063" w14:textId="77777777" w:rsidR="003064AB" w:rsidRPr="00F3383D" w:rsidRDefault="003064AB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7CAA52" w14:textId="77777777" w:rsidR="00D3159B" w:rsidRPr="00F3383D" w:rsidRDefault="00D3159B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421D8FB" w14:textId="77777777" w:rsidR="003064AB" w:rsidRPr="00F3383D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Presentación</w:t>
      </w:r>
    </w:p>
    <w:p w14:paraId="15C4E05D" w14:textId="77777777" w:rsidR="008E4B2C" w:rsidRPr="00F3383D" w:rsidRDefault="008E4B2C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0C36E1" w14:textId="040BC681" w:rsidR="002B32B1" w:rsidRPr="00F3383D" w:rsidRDefault="008060BD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Por iniciativa de la 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>Auditora General Dra. Alma Carmenza Erazo Montenegro</w:t>
      </w:r>
      <w:r w:rsidR="00F3383D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83D">
        <w:rPr>
          <w:rFonts w:ascii="Times New Roman" w:eastAsia="Calibri" w:hAnsi="Times New Roman" w:cs="Times New Roman"/>
          <w:sz w:val="24"/>
          <w:szCs w:val="24"/>
        </w:rPr>
        <w:t>con el propósito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 xml:space="preserve"> de fortalecer la gestión del conocimiento especializado para la vigilanci</w:t>
      </w:r>
      <w:r w:rsidR="00F3383D">
        <w:rPr>
          <w:rFonts w:ascii="Times New Roman" w:eastAsia="Calibri" w:hAnsi="Times New Roman" w:cs="Times New Roman"/>
          <w:sz w:val="24"/>
          <w:szCs w:val="24"/>
        </w:rPr>
        <w:t xml:space="preserve">a de la gestión fiscal nacional, se 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 xml:space="preserve">invita a los funcionarios de la Auditoría General de la República </w:t>
      </w:r>
      <w:r w:rsidR="006F272A" w:rsidRPr="00F3383D">
        <w:rPr>
          <w:rFonts w:ascii="Times New Roman" w:eastAsia="Calibri" w:hAnsi="Times New Roman" w:cs="Times New Roman"/>
          <w:sz w:val="24"/>
          <w:szCs w:val="24"/>
        </w:rPr>
        <w:t>(AGR)</w:t>
      </w:r>
      <w:r w:rsidR="00C62D95">
        <w:rPr>
          <w:rFonts w:ascii="Times New Roman" w:eastAsia="Calibri" w:hAnsi="Times New Roman" w:cs="Times New Roman"/>
          <w:sz w:val="24"/>
          <w:szCs w:val="24"/>
        </w:rPr>
        <w:t>,</w:t>
      </w:r>
      <w:r w:rsidR="006F272A" w:rsidRPr="00F33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>y a los de las contralorías territoriales</w:t>
      </w:r>
      <w:r w:rsidR="00C62D95">
        <w:rPr>
          <w:rFonts w:ascii="Times New Roman" w:eastAsia="Calibri" w:hAnsi="Times New Roman" w:cs="Times New Roman"/>
          <w:sz w:val="24"/>
          <w:szCs w:val="24"/>
        </w:rPr>
        <w:t>,</w:t>
      </w:r>
      <w:r w:rsidR="00EE0A17" w:rsidRPr="00F3383D">
        <w:rPr>
          <w:rFonts w:ascii="Times New Roman" w:eastAsia="Calibri" w:hAnsi="Times New Roman" w:cs="Times New Roman"/>
          <w:sz w:val="24"/>
          <w:szCs w:val="24"/>
        </w:rPr>
        <w:t xml:space="preserve"> a formar parte del Observatorio de Po</w:t>
      </w:r>
      <w:r w:rsidR="00C80119">
        <w:rPr>
          <w:rFonts w:ascii="Times New Roman" w:eastAsia="Calibri" w:hAnsi="Times New Roman" w:cs="Times New Roman"/>
          <w:sz w:val="24"/>
          <w:szCs w:val="24"/>
        </w:rPr>
        <w:t xml:space="preserve">lítica Pública de Control Fiscal. </w:t>
      </w:r>
    </w:p>
    <w:p w14:paraId="3CE015D8" w14:textId="77777777" w:rsidR="008E4B2C" w:rsidRPr="00F3383D" w:rsidRDefault="008E4B2C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873DC" w14:textId="77777777" w:rsidR="003064AB" w:rsidRPr="00F3383D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</w:t>
      </w:r>
    </w:p>
    <w:p w14:paraId="7BB2D2F0" w14:textId="77777777" w:rsidR="008E4B2C" w:rsidRPr="00F3383D" w:rsidRDefault="008E4B2C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B3722" w14:textId="1DD5D17E" w:rsidR="003064AB" w:rsidRDefault="00EE0A1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Fortalecer la gestión del conocimiento especializado para la vigilancia de la gestión fiscal nacional </w:t>
      </w:r>
      <w:r w:rsidR="00C80119">
        <w:rPr>
          <w:rFonts w:ascii="Times New Roman" w:eastAsia="Calibri" w:hAnsi="Times New Roman" w:cs="Times New Roman"/>
          <w:sz w:val="24"/>
          <w:szCs w:val="24"/>
        </w:rPr>
        <w:t xml:space="preserve">a través de la producción investigativa, la gestión del conocimiento y </w:t>
      </w:r>
      <w:r w:rsidR="00C62D95">
        <w:rPr>
          <w:rFonts w:ascii="Times New Roman" w:eastAsia="Calibri" w:hAnsi="Times New Roman" w:cs="Times New Roman"/>
          <w:sz w:val="24"/>
          <w:szCs w:val="24"/>
        </w:rPr>
        <w:t xml:space="preserve">el desarrollo tecnológico, </w:t>
      </w:r>
      <w:r w:rsidR="00AF3AB3">
        <w:rPr>
          <w:rFonts w:ascii="Times New Roman" w:eastAsia="Calibri" w:hAnsi="Times New Roman" w:cs="Times New Roman"/>
          <w:sz w:val="24"/>
          <w:szCs w:val="24"/>
        </w:rPr>
        <w:t>generado</w:t>
      </w:r>
      <w:r w:rsidR="00C62D95">
        <w:rPr>
          <w:rFonts w:ascii="Times New Roman" w:eastAsia="Calibri" w:hAnsi="Times New Roman" w:cs="Times New Roman"/>
          <w:sz w:val="24"/>
          <w:szCs w:val="24"/>
        </w:rPr>
        <w:t xml:space="preserve"> por</w:t>
      </w: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 los funcionarios de la Auditoría General de la República y </w:t>
      </w:r>
      <w:r w:rsidR="00AF3AB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3383D">
        <w:rPr>
          <w:rFonts w:ascii="Times New Roman" w:eastAsia="Calibri" w:hAnsi="Times New Roman" w:cs="Times New Roman"/>
          <w:sz w:val="24"/>
          <w:szCs w:val="24"/>
        </w:rPr>
        <w:t>las contralorías territoriales</w:t>
      </w:r>
      <w:r w:rsidR="00C62D95">
        <w:rPr>
          <w:rFonts w:ascii="Times New Roman" w:eastAsia="Calibri" w:hAnsi="Times New Roman" w:cs="Times New Roman"/>
          <w:sz w:val="24"/>
          <w:szCs w:val="24"/>
        </w:rPr>
        <w:t xml:space="preserve"> en un trabajo mancomunado, sobre la base de la realidad fiscal y los propósitos declarados en el acto legislativo 04 del 18 de septiembre de 2019. </w:t>
      </w:r>
    </w:p>
    <w:p w14:paraId="2ED29A87" w14:textId="607EF905" w:rsidR="008B2CC4" w:rsidRDefault="008B2CC4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415B4" w14:textId="2989E29F" w:rsidR="008B2CC4" w:rsidRDefault="008B2CC4" w:rsidP="008B2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B2C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Meta 2020</w:t>
      </w:r>
    </w:p>
    <w:p w14:paraId="29C7AC7A" w14:textId="6C309F6E" w:rsidR="008B2CC4" w:rsidRDefault="008B2CC4" w:rsidP="008B2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613A5F" w14:textId="4BC984E2" w:rsidR="008B2CC4" w:rsidRPr="008B2CC4" w:rsidRDefault="008B2CC4" w:rsidP="008B2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Evaluación integral de las contralorías territoriales. </w:t>
      </w:r>
    </w:p>
    <w:p w14:paraId="0B1A9DFC" w14:textId="77777777" w:rsidR="00F80BE7" w:rsidRPr="00F3383D" w:rsidRDefault="00F80BE7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2BEDB5D" w14:textId="6067D9C7" w:rsidR="003064AB" w:rsidRPr="00F3383D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Dirigido a</w:t>
      </w:r>
    </w:p>
    <w:p w14:paraId="1653285E" w14:textId="77777777" w:rsidR="008E4B2C" w:rsidRPr="00F3383D" w:rsidRDefault="008E4B2C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F2835F" w14:textId="557949F0" w:rsidR="003064AB" w:rsidRPr="00F3383D" w:rsidRDefault="00F80BE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>Funcionarios de la Auditoría General de la República y de las contralorías territoriales.</w:t>
      </w:r>
    </w:p>
    <w:p w14:paraId="291652BB" w14:textId="77777777" w:rsidR="00F80BE7" w:rsidRPr="00F3383D" w:rsidRDefault="00F80BE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A6AC4D" w14:textId="77777777" w:rsidR="003064AB" w:rsidRPr="00F3383D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Requisitos de participación</w:t>
      </w:r>
    </w:p>
    <w:p w14:paraId="0F405646" w14:textId="77777777" w:rsidR="008E4B2C" w:rsidRPr="00F3383D" w:rsidRDefault="008E4B2C" w:rsidP="00601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FFF505" w14:textId="0CFBA307" w:rsidR="00F80BE7" w:rsidRPr="006017E4" w:rsidRDefault="006017E4" w:rsidP="006017E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7E4">
        <w:rPr>
          <w:rFonts w:ascii="Times New Roman" w:eastAsia="Calibri" w:hAnsi="Times New Roman" w:cs="Times New Roman"/>
          <w:sz w:val="24"/>
          <w:szCs w:val="24"/>
        </w:rPr>
        <w:t>Ser funcionario con rela</w:t>
      </w:r>
      <w:r w:rsidR="00F80BE7" w:rsidRPr="006017E4">
        <w:rPr>
          <w:rFonts w:ascii="Times New Roman" w:eastAsia="Calibri" w:hAnsi="Times New Roman" w:cs="Times New Roman"/>
          <w:sz w:val="24"/>
          <w:szCs w:val="24"/>
        </w:rPr>
        <w:t>ción contractual vigente en el año 2020 de la Auditoría General de la República y/o de las contralorías territoriales.</w:t>
      </w:r>
    </w:p>
    <w:p w14:paraId="1D08BE9C" w14:textId="08759372" w:rsidR="006017E4" w:rsidRPr="006017E4" w:rsidRDefault="006017E4" w:rsidP="006017E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7E4">
        <w:rPr>
          <w:rFonts w:ascii="Times New Roman" w:eastAsia="Calibri" w:hAnsi="Times New Roman" w:cs="Times New Roman"/>
          <w:sz w:val="24"/>
          <w:szCs w:val="24"/>
        </w:rPr>
        <w:t xml:space="preserve">Contar con perfil académico de Colciencias - hoja de vida (CVLAC) actualizado a 2020.  </w:t>
      </w:r>
    </w:p>
    <w:p w14:paraId="29A01599" w14:textId="39421AB9" w:rsidR="006017E4" w:rsidRPr="006017E4" w:rsidRDefault="006017E4" w:rsidP="006017E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7E4">
        <w:rPr>
          <w:rFonts w:ascii="Times New Roman" w:eastAsia="Calibri" w:hAnsi="Times New Roman" w:cs="Times New Roman"/>
          <w:sz w:val="24"/>
          <w:szCs w:val="24"/>
        </w:rPr>
        <w:t xml:space="preserve">Contar con perfil académico ORCID actualizado a 2020.  </w:t>
      </w:r>
    </w:p>
    <w:p w14:paraId="26A2AAA2" w14:textId="6AF92DB4" w:rsidR="006017E4" w:rsidRDefault="006017E4" w:rsidP="006017E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7E4">
        <w:rPr>
          <w:rFonts w:ascii="Times New Roman" w:eastAsia="Calibri" w:hAnsi="Times New Roman" w:cs="Times New Roman"/>
          <w:sz w:val="24"/>
          <w:szCs w:val="24"/>
        </w:rPr>
        <w:t xml:space="preserve">Contar con perfil académico – GOOGLE ACADÉMICO actualizado a 2020.  </w:t>
      </w:r>
    </w:p>
    <w:p w14:paraId="5DC38883" w14:textId="77777777" w:rsidR="006017E4" w:rsidRPr="006017E4" w:rsidRDefault="006017E4" w:rsidP="006017E4">
      <w:pPr>
        <w:pStyle w:val="Prrafodelista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5972E" w14:textId="77777777" w:rsidR="008B2CC4" w:rsidRDefault="006017E4" w:rsidP="008B2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Nota: los numerales 2, 3 y 4 deben contar con afiliación institucional activa con la Auditoría General de la República</w:t>
      </w:r>
      <w:r w:rsidR="00AF3AB3">
        <w:rPr>
          <w:rFonts w:ascii="Times New Roman" w:eastAsia="Calibri" w:hAnsi="Times New Roman" w:cs="Times New Roman"/>
          <w:sz w:val="24"/>
          <w:szCs w:val="24"/>
        </w:rPr>
        <w:t xml:space="preserve"> (No se exige vinculación exclusiva). </w:t>
      </w:r>
    </w:p>
    <w:p w14:paraId="1A0A815A" w14:textId="1073411C" w:rsidR="00AE5927" w:rsidRPr="008B2CC4" w:rsidRDefault="00AE5927" w:rsidP="008B2C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Lineamientos para postulación de proyectos a la convocatoria</w:t>
      </w:r>
    </w:p>
    <w:p w14:paraId="2011145E" w14:textId="77777777" w:rsidR="00AE5927" w:rsidRPr="00F3383D" w:rsidRDefault="00AE5927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47163E" w14:textId="2CB573F1" w:rsidR="00AE5927" w:rsidRPr="00F3383D" w:rsidRDefault="00AE592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>Con el objetivo de mejora</w:t>
      </w:r>
      <w:r w:rsidR="00B82075">
        <w:rPr>
          <w:rFonts w:ascii="Times New Roman" w:eastAsia="Calibri" w:hAnsi="Times New Roman" w:cs="Times New Roman"/>
          <w:sz w:val="24"/>
          <w:szCs w:val="24"/>
        </w:rPr>
        <w:t>r la eficiencia y la eficacia en</w:t>
      </w: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 la recepción</w:t>
      </w:r>
      <w:r w:rsidR="00617B3D" w:rsidRPr="00F3383D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Pr="00F3383D">
        <w:rPr>
          <w:rFonts w:ascii="Times New Roman" w:eastAsia="Calibri" w:hAnsi="Times New Roman" w:cs="Times New Roman"/>
          <w:sz w:val="24"/>
          <w:szCs w:val="24"/>
        </w:rPr>
        <w:t>evaluación</w:t>
      </w:r>
      <w:r w:rsidR="00617B3D" w:rsidRPr="00F3383D">
        <w:rPr>
          <w:rFonts w:ascii="Times New Roman" w:eastAsia="Calibri" w:hAnsi="Times New Roman" w:cs="Times New Roman"/>
          <w:sz w:val="24"/>
          <w:szCs w:val="24"/>
        </w:rPr>
        <w:t xml:space="preserve"> de las postulaciones se establece el siguiente procedimiento</w:t>
      </w:r>
      <w:r w:rsidRPr="00F3383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42D15ED" w14:textId="77777777" w:rsidR="00AE5927" w:rsidRPr="00F3383D" w:rsidRDefault="00AE592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42191" w14:textId="77777777" w:rsidR="00B82075" w:rsidRDefault="00617B3D" w:rsidP="00B820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>Ingresar</w:t>
      </w:r>
      <w:r w:rsidR="00B82075">
        <w:rPr>
          <w:rFonts w:ascii="Times New Roman" w:eastAsia="Calibri" w:hAnsi="Times New Roman" w:cs="Times New Roman"/>
          <w:sz w:val="24"/>
          <w:szCs w:val="24"/>
        </w:rPr>
        <w:t xml:space="preserve"> a la URL </w:t>
      </w:r>
      <w:hyperlink r:id="rId8" w:history="1">
        <w:r w:rsidR="00B82075" w:rsidRPr="00BC73E7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http://bit.ly/3bHEkD0</w:t>
        </w:r>
      </w:hyperlink>
      <w:r w:rsidR="00B820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383D">
        <w:rPr>
          <w:rFonts w:ascii="Times New Roman" w:eastAsia="Calibri" w:hAnsi="Times New Roman" w:cs="Times New Roman"/>
          <w:sz w:val="24"/>
          <w:szCs w:val="24"/>
        </w:rPr>
        <w:t>diligenciar el formulario</w:t>
      </w:r>
      <w:r w:rsidR="00B82075">
        <w:rPr>
          <w:rFonts w:ascii="Times New Roman" w:eastAsia="Calibri" w:hAnsi="Times New Roman" w:cs="Times New Roman"/>
          <w:sz w:val="24"/>
          <w:szCs w:val="24"/>
        </w:rPr>
        <w:t xml:space="preserve"> de inscripción y adjuntar los siguientes documentos,</w:t>
      </w:r>
    </w:p>
    <w:p w14:paraId="6BA664AD" w14:textId="1D28B09D" w:rsidR="00AE5927" w:rsidRPr="00F3383D" w:rsidRDefault="00B82075" w:rsidP="00B82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71277F" w14:textId="02A58D27" w:rsidR="00AE5927" w:rsidRPr="00B82075" w:rsidRDefault="005F111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75">
        <w:rPr>
          <w:rFonts w:ascii="Times New Roman" w:eastAsia="Calibri" w:hAnsi="Times New Roman" w:cs="Times New Roman"/>
          <w:color w:val="000000"/>
          <w:sz w:val="24"/>
          <w:szCs w:val="24"/>
        </w:rPr>
        <w:t>Certificado laboral de la Auditoría General de la República.</w:t>
      </w:r>
    </w:p>
    <w:p w14:paraId="64A6B601" w14:textId="7BB26E22" w:rsidR="00FD48E0" w:rsidRPr="00B82075" w:rsidRDefault="005F111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75">
        <w:rPr>
          <w:rFonts w:ascii="Times New Roman" w:eastAsia="Calibri" w:hAnsi="Times New Roman" w:cs="Times New Roman"/>
          <w:color w:val="000000"/>
          <w:sz w:val="24"/>
          <w:szCs w:val="24"/>
        </w:rPr>
        <w:t>Formato de compromiso</w:t>
      </w:r>
      <w:r w:rsidR="00B82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en el cumplimiento de las actividades del observatorio durante la vigencia</w:t>
      </w:r>
      <w:r w:rsidR="00AE5927" w:rsidRPr="00B82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B6CF23C" w14:textId="7E55A042" w:rsidR="00B82075" w:rsidRDefault="00FD48E0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75">
        <w:rPr>
          <w:rFonts w:ascii="Times New Roman" w:hAnsi="Times New Roman" w:cs="Times New Roman"/>
          <w:color w:val="000000"/>
          <w:sz w:val="24"/>
          <w:szCs w:val="24"/>
        </w:rPr>
        <w:t xml:space="preserve">Certificado de antecedentes disciplinarios de la Procuraduría General de la </w:t>
      </w:r>
      <w:r w:rsidR="00D33AE8">
        <w:rPr>
          <w:rFonts w:ascii="Times New Roman" w:hAnsi="Times New Roman" w:cs="Times New Roman"/>
          <w:color w:val="000000"/>
          <w:sz w:val="24"/>
          <w:szCs w:val="24"/>
        </w:rPr>
        <w:t>Nación</w:t>
      </w:r>
      <w:r w:rsidRPr="00B820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381766" w14:textId="5A007F55" w:rsidR="00B82075" w:rsidRDefault="00B8207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Hoja de vida actualizada al 2020</w:t>
      </w:r>
    </w:p>
    <w:p w14:paraId="0DE66013" w14:textId="7C77BE9F" w:rsidR="00B82075" w:rsidRDefault="00B8207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Pantallazo del CVLAC. </w:t>
      </w:r>
    </w:p>
    <w:p w14:paraId="6021D630" w14:textId="37596B57" w:rsidR="00B82075" w:rsidRDefault="00B8207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Pantallazo de la cuenta ORCID. </w:t>
      </w:r>
    </w:p>
    <w:p w14:paraId="1C06C82E" w14:textId="07E355A6" w:rsidR="00B82075" w:rsidRPr="00B82075" w:rsidRDefault="00B82075" w:rsidP="00B8207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Pantallazo de la cuenta GOOGLE ACADÉMICO.</w:t>
      </w:r>
    </w:p>
    <w:p w14:paraId="162928AC" w14:textId="77777777" w:rsidR="00B82075" w:rsidRDefault="00B82075" w:rsidP="00B82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82BCD" w14:textId="0D95A4A4" w:rsidR="00B82075" w:rsidRPr="00C4132A" w:rsidRDefault="00B82075" w:rsidP="00B82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132A">
        <w:rPr>
          <w:rFonts w:ascii="Times New Roman" w:eastAsia="Calibri" w:hAnsi="Times New Roman" w:cs="Times New Roman"/>
          <w:i/>
          <w:sz w:val="24"/>
          <w:szCs w:val="24"/>
        </w:rPr>
        <w:t>NOTA: No se recibirán documentos impresos o enviados a correos electrónicos, ni fuera de las fechas establecidas.</w:t>
      </w:r>
    </w:p>
    <w:p w14:paraId="0915B002" w14:textId="77777777" w:rsidR="00AE5927" w:rsidRPr="00F3383D" w:rsidRDefault="00AE5927" w:rsidP="0061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DE664" w14:textId="77777777" w:rsidR="00AE5927" w:rsidRPr="00F3383D" w:rsidRDefault="00AE5927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Compromisos</w:t>
      </w:r>
    </w:p>
    <w:p w14:paraId="504C3D81" w14:textId="77777777" w:rsidR="00AE5927" w:rsidRPr="00F3383D" w:rsidRDefault="00AE5927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E05A07" w14:textId="6C2E97CE" w:rsidR="00AE5927" w:rsidRPr="00F3383D" w:rsidRDefault="008B2CC4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Una vez sean admitidos al Observatorio de Política Pública de Control Fiscal</w:t>
      </w:r>
      <w:r w:rsidR="005F1115" w:rsidRPr="00F3383D">
        <w:rPr>
          <w:rFonts w:ascii="Times New Roman" w:eastAsia="Calibri" w:hAnsi="Times New Roman" w:cs="Times New Roman"/>
          <w:sz w:val="24"/>
          <w:szCs w:val="24"/>
        </w:rPr>
        <w:t>, l</w:t>
      </w:r>
      <w:r w:rsidR="00AE5927" w:rsidRPr="00F3383D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="005F1115" w:rsidRPr="00F3383D">
        <w:rPr>
          <w:rFonts w:ascii="Times New Roman" w:eastAsia="Calibri" w:hAnsi="Times New Roman" w:cs="Times New Roman"/>
          <w:sz w:val="24"/>
          <w:szCs w:val="24"/>
        </w:rPr>
        <w:t xml:space="preserve">funcionarios de la Auditoría General de la República y/o de las contralorías territoriales </w:t>
      </w:r>
      <w:r w:rsidR="00AE5927" w:rsidRPr="00F3383D">
        <w:rPr>
          <w:rFonts w:ascii="Times New Roman" w:eastAsia="Calibri" w:hAnsi="Times New Roman" w:cs="Times New Roman"/>
          <w:sz w:val="24"/>
          <w:szCs w:val="24"/>
        </w:rPr>
        <w:t>se compromete</w:t>
      </w:r>
      <w:r>
        <w:rPr>
          <w:rFonts w:ascii="Times New Roman" w:eastAsia="Calibri" w:hAnsi="Times New Roman" w:cs="Times New Roman"/>
          <w:sz w:val="24"/>
          <w:szCs w:val="24"/>
        </w:rPr>
        <w:t>rán (mediante la firma de un acta de compromiso)</w:t>
      </w:r>
      <w:r w:rsidR="00AE5927" w:rsidRPr="00F3383D">
        <w:rPr>
          <w:rFonts w:ascii="Times New Roman" w:eastAsia="Calibri" w:hAnsi="Times New Roman" w:cs="Times New Roman"/>
          <w:sz w:val="24"/>
          <w:szCs w:val="24"/>
        </w:rPr>
        <w:t xml:space="preserve"> a:</w:t>
      </w:r>
    </w:p>
    <w:p w14:paraId="14EA820E" w14:textId="77777777" w:rsidR="00AE5927" w:rsidRPr="00F3383D" w:rsidRDefault="00AE5927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C1FD1" w14:textId="75D5888A" w:rsidR="00AE5927" w:rsidRDefault="00AE5927" w:rsidP="00616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Cumplir </w:t>
      </w:r>
      <w:r w:rsidR="00AA3331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con el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cronograma de trabajo</w:t>
      </w:r>
      <w:r w:rsidR="005F1115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establecido por </w:t>
      </w:r>
      <w:r w:rsidR="00AA3331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el líder del grupo de investigación Altos estudios en control fiscal, Derechos Fundamentales y convivencia pacífica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BE40541" w14:textId="383D93F7" w:rsidR="008B2CC4" w:rsidRPr="00F3383D" w:rsidRDefault="008B2CC4" w:rsidP="00616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Cumplir con las actividades encaminadas a lograr la evaluación integral de las contralorías territoriales. </w:t>
      </w:r>
    </w:p>
    <w:p w14:paraId="1C87542E" w14:textId="5D507CC9" w:rsidR="00AA3331" w:rsidRPr="00F3383D" w:rsidRDefault="00AA3331" w:rsidP="00616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Cumplir con los lineamientos de</w:t>
      </w:r>
      <w:r w:rsidR="00087A0B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087A0B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a política nacional de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Ética, Bioética e Integridad Científic</w:t>
      </w:r>
      <w:r w:rsidR="00087A0B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Disponible en </w:t>
      </w:r>
      <w:hyperlink r:id="rId9" w:history="1">
        <w:r w:rsidR="00087A0B" w:rsidRPr="00F3383D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http://bit.ly/37p8gQK</w:t>
        </w:r>
      </w:hyperlink>
      <w:r w:rsidR="00087A0B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D2F70BF" w14:textId="636B9BC5" w:rsidR="00AE5927" w:rsidRPr="00F3383D" w:rsidRDefault="00AE5927" w:rsidP="00616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2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Generar como mínimo</w:t>
      </w:r>
      <w:r w:rsidR="006F2BB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,</w:t>
      </w:r>
      <w:r w:rsidRPr="00C4132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un producto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cada una de las categorías del modelo nacional de medición de grupos e investigadores de </w:t>
      </w:r>
      <w:r w:rsidR="00AA3331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MinCiencias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0051D9D" w14:textId="77777777" w:rsidR="00AE5927" w:rsidRPr="00F3383D" w:rsidRDefault="00AE5927" w:rsidP="0061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11A584" w14:textId="77777777" w:rsidR="00AA3331" w:rsidRPr="00F3383D" w:rsidRDefault="00AE5927" w:rsidP="00616C6A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Productos de generación de nuevo conocimiento </w:t>
      </w:r>
    </w:p>
    <w:p w14:paraId="4F4DDBC9" w14:textId="1D075FC5" w:rsidR="00AE5927" w:rsidRPr="00F3383D" w:rsidRDefault="00AE5927" w:rsidP="00616C6A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Productos de desarrollo tecnológico e innovación </w:t>
      </w:r>
    </w:p>
    <w:p w14:paraId="3EF1BF7E" w14:textId="0F3C07ED" w:rsidR="00AA3331" w:rsidRPr="00F3383D" w:rsidRDefault="00AA3331" w:rsidP="00616C6A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Productos de formación en capacidades CteI (Ciencia, Tecnología e Innovación)</w:t>
      </w:r>
    </w:p>
    <w:p w14:paraId="3661B003" w14:textId="004036E8" w:rsidR="00AA3331" w:rsidRDefault="00AA3331" w:rsidP="00616C6A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Productos en apropiación social del conocimiento.</w:t>
      </w:r>
    </w:p>
    <w:p w14:paraId="61D4DB18" w14:textId="77777777" w:rsidR="00C4132A" w:rsidRPr="00F3383D" w:rsidRDefault="00C4132A" w:rsidP="00C4132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DAE298F" w14:textId="4F796314" w:rsidR="008B2CC4" w:rsidRPr="008B2CC4" w:rsidRDefault="00C4132A" w:rsidP="008B2CC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NOTA</w:t>
      </w:r>
      <w:r w:rsidR="00AA3331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más información de estos productos en </w:t>
      </w:r>
      <w:hyperlink r:id="rId10" w:history="1">
        <w:r w:rsidR="00AA3331" w:rsidRPr="00F3383D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https://minciencias.gov.co/sites/default/files/upload/convocatoria/4._anexo_1._documento_conceptual_del_modelo_de_reconocimiento_y_medicion_de_grupos_de_investigacion_2018.pdf</w:t>
        </w:r>
      </w:hyperlink>
      <w:r w:rsidR="00AA3331"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271BDFE" w14:textId="77777777" w:rsidR="008B2CC4" w:rsidRPr="00F3383D" w:rsidRDefault="008B2CC4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F34F4B" w14:textId="77777777" w:rsidR="003064AB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Condiciones inhabilitantes</w:t>
      </w:r>
    </w:p>
    <w:p w14:paraId="2D35C84A" w14:textId="77777777" w:rsidR="003064AB" w:rsidRPr="00F3383D" w:rsidRDefault="003064AB" w:rsidP="00616C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1373C34" w14:textId="3A32827C" w:rsidR="001069DF" w:rsidRPr="00F3383D" w:rsidRDefault="006F272A" w:rsidP="00616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No t</w:t>
      </w:r>
      <w:r w:rsidR="007656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ener vinculación contractual 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 la Auditoría General de la República </w:t>
      </w:r>
      <w:r w:rsidR="007656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las contralorías territoriales </w:t>
      </w: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>durante el año 2020.</w:t>
      </w:r>
    </w:p>
    <w:p w14:paraId="1CCFADCA" w14:textId="070BE082" w:rsidR="00951119" w:rsidRDefault="006F272A" w:rsidP="00616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</w:t>
      </w:r>
      <w:r w:rsidR="00951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contar con los perfiles  </w:t>
      </w:r>
      <w:r w:rsidR="00B52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académicos exigidos. </w:t>
      </w:r>
    </w:p>
    <w:p w14:paraId="6DB09F2F" w14:textId="5629249C" w:rsidR="00B5236C" w:rsidRDefault="00B5236C" w:rsidP="00616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subir los documentos exigidos o hacerlo de forma incompleta en el aplicativo. </w:t>
      </w:r>
    </w:p>
    <w:p w14:paraId="45987EC0" w14:textId="77777777" w:rsidR="00B5236C" w:rsidRDefault="00B5236C" w:rsidP="00B5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tener los perfiles académicos </w:t>
      </w:r>
      <w:r w:rsidRPr="00F3383D">
        <w:rPr>
          <w:rFonts w:ascii="Times New Roman" w:eastAsia="Calibri" w:hAnsi="Times New Roman" w:cs="Times New Roman"/>
          <w:sz w:val="24"/>
          <w:szCs w:val="24"/>
        </w:rPr>
        <w:t>con vin</w:t>
      </w:r>
      <w:r>
        <w:rPr>
          <w:rFonts w:ascii="Times New Roman" w:eastAsia="Calibri" w:hAnsi="Times New Roman" w:cs="Times New Roman"/>
          <w:sz w:val="24"/>
          <w:szCs w:val="24"/>
        </w:rPr>
        <w:t xml:space="preserve">culación institucional a la AGR o la Contraloría Territorial respectiva. </w:t>
      </w:r>
    </w:p>
    <w:p w14:paraId="5C6BCACC" w14:textId="203FEB8D" w:rsidR="00FD48E0" w:rsidRPr="00B5236C" w:rsidRDefault="00FD48E0" w:rsidP="00B5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36C">
        <w:rPr>
          <w:rFonts w:ascii="Times New Roman" w:eastAsia="Calibri" w:hAnsi="Times New Roman" w:cs="Times New Roman"/>
          <w:color w:val="000000"/>
          <w:sz w:val="24"/>
          <w:szCs w:val="24"/>
        </w:rPr>
        <w:t>Tener</w:t>
      </w:r>
      <w:r w:rsidR="00B52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59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sanciones disciplinarias en firme </w:t>
      </w:r>
      <w:r w:rsidRPr="00B5236C">
        <w:rPr>
          <w:rFonts w:ascii="Times New Roman" w:eastAsia="Calibri" w:hAnsi="Times New Roman" w:cs="Times New Roman"/>
          <w:color w:val="000000"/>
          <w:sz w:val="24"/>
          <w:szCs w:val="24"/>
        </w:rPr>
        <w:t>en la Proc</w:t>
      </w:r>
      <w:r w:rsidR="00D33AE8">
        <w:rPr>
          <w:rFonts w:ascii="Times New Roman" w:eastAsia="Calibri" w:hAnsi="Times New Roman" w:cs="Times New Roman"/>
          <w:color w:val="000000"/>
          <w:sz w:val="24"/>
          <w:szCs w:val="24"/>
        </w:rPr>
        <w:t>uraduría General de la Nación</w:t>
      </w:r>
      <w:r w:rsidR="00B52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C390ACE" w14:textId="77777777" w:rsidR="003064AB" w:rsidRPr="00F3383D" w:rsidRDefault="003064AB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29D33" w14:textId="77777777" w:rsidR="003064AB" w:rsidRPr="00F3383D" w:rsidRDefault="008060BD" w:rsidP="0061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Duración y financiación</w:t>
      </w:r>
    </w:p>
    <w:p w14:paraId="323A70C8" w14:textId="77777777" w:rsidR="008E4B2C" w:rsidRPr="00F3383D" w:rsidRDefault="008E4B2C" w:rsidP="0061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7DA1038D" w14:textId="5BC50F55" w:rsidR="00D3159B" w:rsidRPr="00F3383D" w:rsidRDefault="006F272A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3D">
        <w:rPr>
          <w:rFonts w:ascii="Times New Roman" w:eastAsia="Calibri" w:hAnsi="Times New Roman" w:cs="Times New Roman"/>
          <w:sz w:val="24"/>
          <w:szCs w:val="24"/>
        </w:rPr>
        <w:t>La vinculación al observatorio de política pública del control fiscal de la Auditoría General</w:t>
      </w:r>
      <w:r w:rsidR="00874C56">
        <w:rPr>
          <w:rFonts w:ascii="Times New Roman" w:eastAsia="Calibri" w:hAnsi="Times New Roman" w:cs="Times New Roman"/>
          <w:sz w:val="24"/>
          <w:szCs w:val="24"/>
        </w:rPr>
        <w:t xml:space="preserve"> de la República será por la vigencia</w:t>
      </w:r>
      <w:r w:rsidRPr="00F3383D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8060BD" w:rsidRPr="00F3383D">
        <w:rPr>
          <w:rFonts w:ascii="Times New Roman" w:eastAsia="Calibri" w:hAnsi="Times New Roman" w:cs="Times New Roman"/>
          <w:sz w:val="24"/>
          <w:szCs w:val="24"/>
        </w:rPr>
        <w:t>.</w:t>
      </w:r>
      <w:r w:rsidR="00874C56">
        <w:rPr>
          <w:rFonts w:ascii="Times New Roman" w:eastAsia="Calibri" w:hAnsi="Times New Roman" w:cs="Times New Roman"/>
          <w:sz w:val="24"/>
          <w:szCs w:val="24"/>
        </w:rPr>
        <w:t xml:space="preserve"> Podrá prorrogarse</w:t>
      </w:r>
      <w:r w:rsidR="004C488E">
        <w:rPr>
          <w:rFonts w:ascii="Times New Roman" w:eastAsia="Calibri" w:hAnsi="Times New Roman" w:cs="Times New Roman"/>
          <w:sz w:val="24"/>
          <w:szCs w:val="24"/>
        </w:rPr>
        <w:t xml:space="preserve"> de forma expresa,</w:t>
      </w:r>
      <w:r w:rsidR="00874C56">
        <w:rPr>
          <w:rFonts w:ascii="Times New Roman" w:eastAsia="Calibri" w:hAnsi="Times New Roman" w:cs="Times New Roman"/>
          <w:sz w:val="24"/>
          <w:szCs w:val="24"/>
        </w:rPr>
        <w:t xml:space="preserve"> siempre que se cumplan los requisitos de pertenencia y </w:t>
      </w:r>
      <w:r w:rsidR="004C488E">
        <w:rPr>
          <w:rFonts w:ascii="Times New Roman" w:eastAsia="Calibri" w:hAnsi="Times New Roman" w:cs="Times New Roman"/>
          <w:sz w:val="24"/>
          <w:szCs w:val="24"/>
        </w:rPr>
        <w:t xml:space="preserve">se declaren cumplidos los compromisos adquiridos.  </w:t>
      </w:r>
    </w:p>
    <w:p w14:paraId="513B3812" w14:textId="77777777" w:rsidR="007702D7" w:rsidRPr="00F3383D" w:rsidRDefault="007702D7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5888A43" w14:textId="1682B81A" w:rsidR="003064AB" w:rsidRPr="00F3383D" w:rsidRDefault="008060BD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83D">
        <w:rPr>
          <w:rFonts w:ascii="Times New Roman" w:eastAsia="Calibri" w:hAnsi="Times New Roman" w:cs="Times New Roman"/>
          <w:b/>
          <w:sz w:val="24"/>
          <w:szCs w:val="24"/>
          <w:u w:val="single"/>
        </w:rPr>
        <w:t>Criterios de evaluación</w:t>
      </w:r>
    </w:p>
    <w:p w14:paraId="67E2E4FA" w14:textId="77777777" w:rsidR="007702D7" w:rsidRPr="00F3383D" w:rsidRDefault="007702D7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C02A5D8" w14:textId="77777777" w:rsidR="003064AB" w:rsidRPr="00F3383D" w:rsidRDefault="003064AB" w:rsidP="0061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0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5387"/>
        <w:gridCol w:w="1985"/>
      </w:tblGrid>
      <w:tr w:rsidR="00F36453" w:rsidRPr="00F3383D" w14:paraId="15478F23" w14:textId="77777777" w:rsidTr="00F3383D">
        <w:trPr>
          <w:trHeight w:val="5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767C94" w14:textId="77777777" w:rsidR="00F36453" w:rsidRPr="00F3383D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E960F1C" w14:textId="77777777" w:rsidR="00F36453" w:rsidRPr="00F3383D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Aspecto a evaluar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CE7ABE" w14:textId="77777777" w:rsidR="00F36453" w:rsidRPr="00F3383D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Puntaje</w:t>
            </w:r>
          </w:p>
        </w:tc>
      </w:tr>
      <w:tr w:rsidR="00F36453" w:rsidRPr="00F3383D" w14:paraId="436680A0" w14:textId="77777777" w:rsidTr="00F3383D">
        <w:trPr>
          <w:trHeight w:val="1407"/>
        </w:trPr>
        <w:tc>
          <w:tcPr>
            <w:tcW w:w="1984" w:type="dxa"/>
            <w:shd w:val="clear" w:color="auto" w:fill="auto"/>
            <w:vAlign w:val="center"/>
          </w:tcPr>
          <w:p w14:paraId="55EB331A" w14:textId="06B1F10A" w:rsidR="00F36453" w:rsidRPr="00F3383D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Experiencia profesional</w:t>
            </w:r>
          </w:p>
        </w:tc>
        <w:tc>
          <w:tcPr>
            <w:tcW w:w="5387" w:type="dxa"/>
            <w:vAlign w:val="center"/>
          </w:tcPr>
          <w:p w14:paraId="40D38BEA" w14:textId="6F1B81A6" w:rsidR="00FD48E0" w:rsidRPr="00F3383D" w:rsidRDefault="00F36453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Trayectoria profesional en entidades del orden nacional y/o internacional </w:t>
            </w:r>
            <w:r w:rsidR="00FD48E0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funciones misionales entorno a:</w:t>
            </w:r>
          </w:p>
          <w:p w14:paraId="5C754CE8" w14:textId="77777777" w:rsidR="00FD48E0" w:rsidRPr="00F3383D" w:rsidRDefault="00F36453" w:rsidP="00616C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control físcal</w:t>
            </w:r>
          </w:p>
          <w:p w14:paraId="48AC6BD2" w14:textId="77777777" w:rsidR="00FD48E0" w:rsidRPr="00F3383D" w:rsidRDefault="00FD48E0" w:rsidP="00616C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F36453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olíticas públicas </w:t>
            </w:r>
          </w:p>
          <w:p w14:paraId="424553F6" w14:textId="04C440E7" w:rsidR="00F36453" w:rsidRPr="00F3383D" w:rsidRDefault="00F36453" w:rsidP="00616C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órganos de control</w:t>
            </w:r>
          </w:p>
          <w:p w14:paraId="77FA9DC1" w14:textId="77777777" w:rsidR="00FD48E0" w:rsidRPr="00F3383D" w:rsidRDefault="00FD48E0" w:rsidP="00616C6A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8F737" w14:textId="086BA262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Mayor a 10 años (5 puntos)</w:t>
            </w:r>
          </w:p>
          <w:p w14:paraId="1FDF4001" w14:textId="14907424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Entre 3 y 9 años (3 puntos)</w:t>
            </w:r>
          </w:p>
          <w:p w14:paraId="3B144131" w14:textId="2949F3C6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Menor a 2 años (1 punto)</w:t>
            </w:r>
          </w:p>
        </w:tc>
        <w:tc>
          <w:tcPr>
            <w:tcW w:w="1985" w:type="dxa"/>
            <w:vAlign w:val="center"/>
          </w:tcPr>
          <w:p w14:paraId="1315B8FD" w14:textId="77777777" w:rsidR="00F36453" w:rsidRPr="00F3383D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6453" w:rsidRPr="00F3383D" w14:paraId="7ECC8614" w14:textId="77777777" w:rsidTr="00213255">
        <w:trPr>
          <w:trHeight w:val="3392"/>
        </w:trPr>
        <w:tc>
          <w:tcPr>
            <w:tcW w:w="1984" w:type="dxa"/>
            <w:shd w:val="clear" w:color="auto" w:fill="auto"/>
            <w:vAlign w:val="center"/>
          </w:tcPr>
          <w:p w14:paraId="68DEA2AF" w14:textId="19DD33FE" w:rsidR="00F36453" w:rsidRDefault="00F36453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401DE" w14:textId="0086C19B" w:rsidR="00213255" w:rsidRDefault="00213255" w:rsidP="00213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33F38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05949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E2055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B3C69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978AF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7CB09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4DC9B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FF2F5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89A3C" w14:textId="1B1B8866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Producción</w:t>
            </w:r>
          </w:p>
          <w:p w14:paraId="5A9889DF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E2341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B3606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473F9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1F198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E41C4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DC51B" w14:textId="77777777" w:rsidR="00213255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2DCF4" w14:textId="1A953352" w:rsidR="00213255" w:rsidRPr="00F3383D" w:rsidRDefault="00213255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29D4292" w14:textId="08757470" w:rsidR="00F36453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Productos realizados registrados en CVLAC en las siguientes categorías:</w:t>
            </w:r>
          </w:p>
          <w:p w14:paraId="260FC643" w14:textId="77777777" w:rsidR="00FD48E0" w:rsidRPr="00F3383D" w:rsidRDefault="00FD48E0" w:rsidP="00616C6A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Productos de generación de nuevo conocimiento </w:t>
            </w:r>
          </w:p>
          <w:p w14:paraId="4635CF68" w14:textId="77777777" w:rsidR="00FD48E0" w:rsidRPr="00F3383D" w:rsidRDefault="00FD48E0" w:rsidP="00616C6A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Productos de desarrollo tecnológico e innovación </w:t>
            </w:r>
          </w:p>
          <w:p w14:paraId="1962A52C" w14:textId="77777777" w:rsidR="00FD48E0" w:rsidRPr="00F3383D" w:rsidRDefault="00FD48E0" w:rsidP="00616C6A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Productos de formación en capacidades CteI (Ciencia, Tecnología e Innovación)</w:t>
            </w:r>
          </w:p>
          <w:p w14:paraId="59E6FBF6" w14:textId="77777777" w:rsidR="00FD48E0" w:rsidRPr="00F3383D" w:rsidRDefault="00FD48E0" w:rsidP="00616C6A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Productos en apropiación social del conocimiento</w:t>
            </w:r>
          </w:p>
          <w:p w14:paraId="275B187A" w14:textId="77777777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B30BA" w14:textId="10D9E7F8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Más a </w:t>
            </w:r>
            <w:r w:rsidR="002A1F9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productos(</w:t>
            </w:r>
            <w:r w:rsidR="002A1F9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14:paraId="78090238" w14:textId="6E1C31E8" w:rsidR="00FD48E0" w:rsidRPr="00F3383D" w:rsidRDefault="00FD48E0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Entre </w:t>
            </w:r>
            <w:r w:rsidR="002A1F9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</w:t>
            </w:r>
            <w:r w:rsidR="002A1F9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productos 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A1F9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14:paraId="52BF3750" w14:textId="77777777" w:rsidR="00FD48E0" w:rsidRPr="00F3383D" w:rsidRDefault="002A1F91" w:rsidP="00616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Entre 1 y </w:t>
            </w:r>
            <w:r w:rsidR="00FD48E0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productos </w:t>
            </w:r>
            <w:r w:rsidR="00FD48E0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(1 punto)</w:t>
            </w:r>
          </w:p>
          <w:p w14:paraId="68532ADF" w14:textId="1EF8206B" w:rsidR="002A1F91" w:rsidRPr="00F3383D" w:rsidRDefault="002A1F91" w:rsidP="00616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Sin productos (0 puntos)</w:t>
            </w:r>
          </w:p>
        </w:tc>
        <w:tc>
          <w:tcPr>
            <w:tcW w:w="1985" w:type="dxa"/>
            <w:vAlign w:val="center"/>
          </w:tcPr>
          <w:p w14:paraId="59A0899F" w14:textId="44CE08A2" w:rsidR="00F36453" w:rsidRPr="00F3383D" w:rsidRDefault="00FD48E0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6453" w:rsidRPr="00F3383D" w14:paraId="71EBB9A7" w14:textId="77777777" w:rsidTr="00F3383D">
        <w:trPr>
          <w:trHeight w:val="693"/>
        </w:trPr>
        <w:tc>
          <w:tcPr>
            <w:tcW w:w="1984" w:type="dxa"/>
            <w:shd w:val="clear" w:color="auto" w:fill="auto"/>
            <w:vAlign w:val="center"/>
          </w:tcPr>
          <w:p w14:paraId="575FC582" w14:textId="3734D473" w:rsidR="002A1F91" w:rsidRPr="00F3383D" w:rsidRDefault="00FD48E0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Antecedentes dis</w:t>
            </w:r>
            <w:r w:rsidR="00213255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plinarios</w:t>
            </w:r>
          </w:p>
        </w:tc>
        <w:tc>
          <w:tcPr>
            <w:tcW w:w="5387" w:type="dxa"/>
            <w:vAlign w:val="center"/>
          </w:tcPr>
          <w:p w14:paraId="79F554CE" w14:textId="0894E140" w:rsidR="002A1F91" w:rsidRDefault="002A1F91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Sin Disciplinarios en curso en la Procuraduría General de la </w:t>
            </w:r>
            <w:r w:rsidR="00D33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Nación</w:t>
            </w: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 puntos)</w:t>
            </w:r>
          </w:p>
          <w:p w14:paraId="00C7077D" w14:textId="77777777" w:rsidR="00213255" w:rsidRPr="00F3383D" w:rsidRDefault="00213255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028FD12" w14:textId="05AE5785" w:rsidR="00F36453" w:rsidRPr="00F3383D" w:rsidRDefault="002A1F91" w:rsidP="00D33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Disciplinarios en curso en la Procuraduría General de la </w:t>
            </w:r>
            <w:r w:rsidR="00D33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Nación </w:t>
            </w: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 puntos)</w:t>
            </w:r>
          </w:p>
        </w:tc>
        <w:tc>
          <w:tcPr>
            <w:tcW w:w="1985" w:type="dxa"/>
            <w:vAlign w:val="center"/>
          </w:tcPr>
          <w:p w14:paraId="0F816426" w14:textId="1EE945C7" w:rsidR="00F36453" w:rsidRPr="00F3383D" w:rsidRDefault="00FD48E0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48E0" w:rsidRPr="00F3383D" w14:paraId="5031A9E1" w14:textId="77777777" w:rsidTr="00F3383D">
        <w:trPr>
          <w:trHeight w:val="693"/>
        </w:trPr>
        <w:tc>
          <w:tcPr>
            <w:tcW w:w="1984" w:type="dxa"/>
            <w:shd w:val="clear" w:color="auto" w:fill="auto"/>
            <w:vAlign w:val="center"/>
          </w:tcPr>
          <w:p w14:paraId="3799DAAF" w14:textId="3608B3F2" w:rsidR="00FD48E0" w:rsidRPr="00213255" w:rsidRDefault="00FD48E0" w:rsidP="00213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372" w:type="dxa"/>
            <w:gridSpan w:val="2"/>
            <w:vAlign w:val="center"/>
          </w:tcPr>
          <w:p w14:paraId="282C8D33" w14:textId="29DB0DDA" w:rsidR="00FD48E0" w:rsidRPr="00213255" w:rsidRDefault="00FD48E0" w:rsidP="00213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28C75DC" w14:textId="77777777" w:rsidR="00D073C1" w:rsidRPr="00F3383D" w:rsidRDefault="00D073C1" w:rsidP="0061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22534" w14:textId="64633663" w:rsidR="00D073C1" w:rsidRPr="00F3383D" w:rsidRDefault="00213255" w:rsidP="00616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Cronograma</w:t>
      </w:r>
    </w:p>
    <w:p w14:paraId="3EAA2325" w14:textId="77777777" w:rsidR="00D073C1" w:rsidRPr="00F3383D" w:rsidRDefault="00D073C1" w:rsidP="00616C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407"/>
      </w:tblGrid>
      <w:tr w:rsidR="00D073C1" w:rsidRPr="00F3383D" w14:paraId="2A67D0FC" w14:textId="77777777" w:rsidTr="00AA3331">
        <w:tc>
          <w:tcPr>
            <w:tcW w:w="4421" w:type="dxa"/>
            <w:shd w:val="clear" w:color="auto" w:fill="D9D9D9" w:themeFill="background1" w:themeFillShade="D9"/>
            <w:vAlign w:val="center"/>
          </w:tcPr>
          <w:p w14:paraId="20131876" w14:textId="77777777" w:rsidR="00D073C1" w:rsidRPr="00F3383D" w:rsidRDefault="00D073C1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179E2E6D" w14:textId="77777777" w:rsidR="00D073C1" w:rsidRPr="00F3383D" w:rsidRDefault="00D073C1" w:rsidP="00616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Fechas</w:t>
            </w:r>
          </w:p>
        </w:tc>
      </w:tr>
      <w:tr w:rsidR="00D073C1" w:rsidRPr="00F3383D" w14:paraId="2C62AF6F" w14:textId="77777777" w:rsidTr="00AA3331">
        <w:trPr>
          <w:trHeight w:val="696"/>
        </w:trPr>
        <w:tc>
          <w:tcPr>
            <w:tcW w:w="4421" w:type="dxa"/>
            <w:shd w:val="clear" w:color="auto" w:fill="auto"/>
            <w:vAlign w:val="center"/>
          </w:tcPr>
          <w:p w14:paraId="6BC90EAA" w14:textId="77777777" w:rsidR="00D073C1" w:rsidRPr="00F3383D" w:rsidRDefault="00D073C1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Fecha de lanzamiento convocatoria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B4475AA" w14:textId="1AFF11F0" w:rsidR="00D073C1" w:rsidRPr="00F3383D" w:rsidRDefault="00C27521" w:rsidP="00616C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Viernes</w:t>
            </w:r>
            <w:r w:rsidR="00D073C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073C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febrero </w:t>
            </w:r>
            <w:r w:rsidR="00D073C1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D073C1" w:rsidRPr="00F3383D" w14:paraId="6C728604" w14:textId="77777777" w:rsidTr="00AA3331">
        <w:tc>
          <w:tcPr>
            <w:tcW w:w="4421" w:type="dxa"/>
            <w:shd w:val="clear" w:color="auto" w:fill="auto"/>
            <w:vAlign w:val="center"/>
          </w:tcPr>
          <w:p w14:paraId="60F10366" w14:textId="259FDCD4" w:rsidR="00D073C1" w:rsidRPr="00F3383D" w:rsidRDefault="00D073C1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Fecha límite para recepción de </w:t>
            </w:r>
            <w:r w:rsidR="00CD5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postulaciones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91C443D" w14:textId="13C37676" w:rsidR="00D073C1" w:rsidRPr="00F3383D" w:rsidRDefault="00D073C1" w:rsidP="00616C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Viernes </w:t>
            </w:r>
            <w:r w:rsidR="00C275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marzo de 2020</w:t>
            </w:r>
          </w:p>
        </w:tc>
      </w:tr>
      <w:tr w:rsidR="00D073C1" w:rsidRPr="00F3383D" w14:paraId="7CCCE14F" w14:textId="77777777" w:rsidTr="00AA3331">
        <w:tc>
          <w:tcPr>
            <w:tcW w:w="4421" w:type="dxa"/>
            <w:shd w:val="clear" w:color="auto" w:fill="auto"/>
            <w:vAlign w:val="center"/>
          </w:tcPr>
          <w:p w14:paraId="3581AE73" w14:textId="441EF774" w:rsidR="00D073C1" w:rsidRPr="00F3383D" w:rsidRDefault="00D073C1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Evaluación </w:t>
            </w:r>
            <w:r w:rsidR="00B52404"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CD5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postulaciones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B0E407D" w14:textId="3D296B88" w:rsidR="00D073C1" w:rsidRPr="00F3383D" w:rsidRDefault="00C27521" w:rsidP="00616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marzo de 2020 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marzo de 2020</w:t>
            </w:r>
          </w:p>
        </w:tc>
      </w:tr>
      <w:tr w:rsidR="00D073C1" w:rsidRPr="00F3383D" w14:paraId="29CE6F2F" w14:textId="77777777" w:rsidTr="00E74B16">
        <w:trPr>
          <w:trHeight w:val="467"/>
        </w:trPr>
        <w:tc>
          <w:tcPr>
            <w:tcW w:w="4421" w:type="dxa"/>
            <w:shd w:val="clear" w:color="auto" w:fill="auto"/>
            <w:vAlign w:val="center"/>
          </w:tcPr>
          <w:p w14:paraId="10B4C566" w14:textId="0B41D57A" w:rsidR="00D073C1" w:rsidRPr="00F3383D" w:rsidRDefault="00B52404" w:rsidP="00616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8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Publicación de resultados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2058BBC" w14:textId="72C62B27" w:rsidR="00D073C1" w:rsidRPr="00F3383D" w:rsidRDefault="00C27521" w:rsidP="00616C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de marzo</w:t>
            </w:r>
            <w:r w:rsidR="00B52404" w:rsidRPr="00F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2020</w:t>
            </w:r>
          </w:p>
        </w:tc>
      </w:tr>
    </w:tbl>
    <w:p w14:paraId="7FBD7288" w14:textId="77777777" w:rsidR="00D073C1" w:rsidRPr="00F3383D" w:rsidRDefault="00D073C1" w:rsidP="00616C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8F03B69" w14:textId="78799B8C" w:rsidR="00D073C1" w:rsidRPr="00F3383D" w:rsidRDefault="00D073C1" w:rsidP="0061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073C1" w:rsidRPr="00F3383D" w:rsidSect="00F3383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410" w:right="1701" w:bottom="2127" w:left="1701" w:header="283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9D8C" w14:textId="77777777" w:rsidR="00292E04" w:rsidRDefault="00292E04">
      <w:pPr>
        <w:spacing w:after="0" w:line="240" w:lineRule="auto"/>
      </w:pPr>
      <w:r>
        <w:separator/>
      </w:r>
    </w:p>
  </w:endnote>
  <w:endnote w:type="continuationSeparator" w:id="0">
    <w:p w14:paraId="50AEAB50" w14:textId="77777777" w:rsidR="00292E04" w:rsidRDefault="0029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E417" w14:textId="326AEBFD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172F" w14:textId="5AD80538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778F" w14:textId="77777777" w:rsidR="00292E04" w:rsidRDefault="00292E04">
      <w:pPr>
        <w:spacing w:after="0" w:line="240" w:lineRule="auto"/>
      </w:pPr>
      <w:r>
        <w:separator/>
      </w:r>
    </w:p>
  </w:footnote>
  <w:footnote w:type="continuationSeparator" w:id="0">
    <w:p w14:paraId="07668D1F" w14:textId="77777777" w:rsidR="00292E04" w:rsidRDefault="0029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1AD7F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A1AA" w14:textId="3C72BC19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3CC1CCED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71DF7597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24AF055D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696D7CA7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2853F187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3765A03C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50C0EF9E" w14:textId="77777777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4"/>
        <w:szCs w:val="14"/>
      </w:rPr>
    </w:pPr>
  </w:p>
  <w:p w14:paraId="14B567BA" w14:textId="346446DE" w:rsidR="00C80119" w:rsidRPr="00080226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Theme="majorHAnsi" w:hAnsiTheme="majorHAnsi" w:cstheme="majorHAnsi"/>
        <w:color w:val="000000"/>
        <w:sz w:val="14"/>
        <w:szCs w:val="14"/>
      </w:rPr>
    </w:pPr>
    <w:r w:rsidRPr="00080226">
      <w:rPr>
        <w:rFonts w:asciiTheme="majorHAnsi" w:hAnsiTheme="majorHAnsi" w:cstheme="majorHAnsi"/>
        <w:color w:val="000000"/>
        <w:sz w:val="14"/>
        <w:szCs w:val="14"/>
      </w:rPr>
      <w:t xml:space="preserve">Página </w: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begin"/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instrText>PAGE</w:instrTex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separate"/>
    </w:r>
    <w:r w:rsidR="00213255">
      <w:rPr>
        <w:rFonts w:asciiTheme="majorHAnsi" w:hAnsiTheme="majorHAnsi" w:cstheme="majorHAnsi"/>
        <w:b/>
        <w:noProof/>
        <w:color w:val="000000"/>
        <w:sz w:val="14"/>
        <w:szCs w:val="14"/>
      </w:rPr>
      <w:t>4</w: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end"/>
    </w:r>
    <w:r w:rsidRPr="00080226">
      <w:rPr>
        <w:rFonts w:asciiTheme="majorHAnsi" w:hAnsiTheme="majorHAnsi" w:cstheme="majorHAnsi"/>
        <w:color w:val="000000"/>
        <w:sz w:val="14"/>
        <w:szCs w:val="14"/>
      </w:rPr>
      <w:t xml:space="preserve"> de </w: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begin"/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instrText>NUMPAGES</w:instrTex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separate"/>
    </w:r>
    <w:r w:rsidR="00213255">
      <w:rPr>
        <w:rFonts w:asciiTheme="majorHAnsi" w:hAnsiTheme="majorHAnsi" w:cstheme="majorHAnsi"/>
        <w:b/>
        <w:noProof/>
        <w:color w:val="000000"/>
        <w:sz w:val="14"/>
        <w:szCs w:val="14"/>
      </w:rPr>
      <w:t>4</w:t>
    </w:r>
    <w:r w:rsidRPr="00080226">
      <w:rPr>
        <w:rFonts w:asciiTheme="majorHAnsi" w:hAnsiTheme="majorHAnsi" w:cstheme="majorHAnsi"/>
        <w:b/>
        <w:color w:val="000000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F3EB" w14:textId="0359818C" w:rsidR="00C80119" w:rsidRDefault="00C80119">
    <w:pPr>
      <w:spacing w:after="0" w:line="240" w:lineRule="auto"/>
      <w:jc w:val="center"/>
    </w:pPr>
  </w:p>
  <w:p w14:paraId="71E256B5" w14:textId="5FDBB942" w:rsidR="00C80119" w:rsidRDefault="00C80119">
    <w:pPr>
      <w:spacing w:after="0" w:line="240" w:lineRule="auto"/>
      <w:jc w:val="center"/>
    </w:pPr>
  </w:p>
  <w:p w14:paraId="132563E1" w14:textId="1DEE6909" w:rsidR="00C80119" w:rsidRDefault="00C80119">
    <w:pPr>
      <w:spacing w:after="0" w:line="240" w:lineRule="auto"/>
      <w:jc w:val="center"/>
    </w:pPr>
  </w:p>
  <w:p w14:paraId="1C75679D" w14:textId="3D17DF8F" w:rsidR="00C80119" w:rsidRDefault="00C80119">
    <w:pPr>
      <w:spacing w:after="0" w:line="240" w:lineRule="auto"/>
      <w:jc w:val="center"/>
    </w:pPr>
  </w:p>
  <w:p w14:paraId="5F14A057" w14:textId="62DA5B47" w:rsidR="00C80119" w:rsidRDefault="00C80119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AEAAAA"/>
        <w:sz w:val="24"/>
        <w:szCs w:val="24"/>
      </w:rPr>
    </w:pPr>
  </w:p>
  <w:p w14:paraId="0DFEAD47" w14:textId="4DAEF4F5" w:rsidR="00C80119" w:rsidRDefault="00C80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94C"/>
    <w:multiLevelType w:val="multilevel"/>
    <w:tmpl w:val="49B8AAD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72A081C"/>
    <w:multiLevelType w:val="multilevel"/>
    <w:tmpl w:val="82CA1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5F2D"/>
    <w:multiLevelType w:val="hybridMultilevel"/>
    <w:tmpl w:val="1BCA6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671"/>
    <w:multiLevelType w:val="multilevel"/>
    <w:tmpl w:val="34F4D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316"/>
    <w:multiLevelType w:val="hybridMultilevel"/>
    <w:tmpl w:val="264803E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71E4"/>
    <w:multiLevelType w:val="multilevel"/>
    <w:tmpl w:val="0CD83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4346"/>
    <w:multiLevelType w:val="hybridMultilevel"/>
    <w:tmpl w:val="49583D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0DC9"/>
    <w:multiLevelType w:val="hybridMultilevel"/>
    <w:tmpl w:val="FDB22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E88"/>
    <w:multiLevelType w:val="hybridMultilevel"/>
    <w:tmpl w:val="AC7A4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0EAB"/>
    <w:multiLevelType w:val="hybridMultilevel"/>
    <w:tmpl w:val="CB868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0FA6"/>
    <w:multiLevelType w:val="multilevel"/>
    <w:tmpl w:val="113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230B6"/>
    <w:multiLevelType w:val="hybridMultilevel"/>
    <w:tmpl w:val="E76E227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D54A7"/>
    <w:multiLevelType w:val="hybridMultilevel"/>
    <w:tmpl w:val="90E654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5D3"/>
    <w:multiLevelType w:val="multilevel"/>
    <w:tmpl w:val="9DE004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0750"/>
    <w:multiLevelType w:val="multilevel"/>
    <w:tmpl w:val="B23AEC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574665F4"/>
    <w:multiLevelType w:val="hybridMultilevel"/>
    <w:tmpl w:val="3CF844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A49CD"/>
    <w:multiLevelType w:val="hybridMultilevel"/>
    <w:tmpl w:val="127C75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E6D9D"/>
    <w:multiLevelType w:val="hybridMultilevel"/>
    <w:tmpl w:val="455C5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171896"/>
    <w:multiLevelType w:val="multilevel"/>
    <w:tmpl w:val="E3302A98"/>
    <w:lvl w:ilvl="0">
      <w:start w:val="1"/>
      <w:numFmt w:val="lowerRoman"/>
      <w:lvlText w:val="%1."/>
      <w:lvlJc w:val="right"/>
      <w:pPr>
        <w:ind w:left="1353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F86278"/>
    <w:multiLevelType w:val="hybridMultilevel"/>
    <w:tmpl w:val="7FC662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45746"/>
    <w:multiLevelType w:val="multilevel"/>
    <w:tmpl w:val="D108D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987AA0"/>
    <w:multiLevelType w:val="multilevel"/>
    <w:tmpl w:val="6D92F594"/>
    <w:lvl w:ilvl="0">
      <w:start w:val="1"/>
      <w:numFmt w:val="lowerLetter"/>
      <w:lvlText w:val="%1."/>
      <w:lvlJc w:val="left"/>
      <w:pPr>
        <w:ind w:left="643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left"/>
      <w:pPr>
        <w:ind w:left="3960" w:hanging="36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left"/>
      <w:pPr>
        <w:ind w:left="6120" w:hanging="360"/>
      </w:pPr>
    </w:lvl>
  </w:abstractNum>
  <w:abstractNum w:abstractNumId="22" w15:restartNumberingAfterBreak="0">
    <w:nsid w:val="7ED051C8"/>
    <w:multiLevelType w:val="multilevel"/>
    <w:tmpl w:val="7AD02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2"/>
  </w:num>
  <w:num w:numId="9">
    <w:abstractNumId w:val="14"/>
  </w:num>
  <w:num w:numId="10">
    <w:abstractNumId w:val="21"/>
  </w:num>
  <w:num w:numId="11">
    <w:abstractNumId w:val="10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  <w:num w:numId="17">
    <w:abstractNumId w:val="4"/>
  </w:num>
  <w:num w:numId="18">
    <w:abstractNumId w:val="6"/>
  </w:num>
  <w:num w:numId="19">
    <w:abstractNumId w:val="16"/>
  </w:num>
  <w:num w:numId="20">
    <w:abstractNumId w:val="17"/>
  </w:num>
  <w:num w:numId="21">
    <w:abstractNumId w:val="15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AB"/>
    <w:rsid w:val="000105E9"/>
    <w:rsid w:val="00022297"/>
    <w:rsid w:val="00066730"/>
    <w:rsid w:val="000705C8"/>
    <w:rsid w:val="00076525"/>
    <w:rsid w:val="00080226"/>
    <w:rsid w:val="00087A0B"/>
    <w:rsid w:val="000E15FC"/>
    <w:rsid w:val="000E6C00"/>
    <w:rsid w:val="001069DF"/>
    <w:rsid w:val="00120C9C"/>
    <w:rsid w:val="00124F31"/>
    <w:rsid w:val="0015504B"/>
    <w:rsid w:val="0016751D"/>
    <w:rsid w:val="00174924"/>
    <w:rsid w:val="001C4220"/>
    <w:rsid w:val="001E567B"/>
    <w:rsid w:val="00206318"/>
    <w:rsid w:val="00213255"/>
    <w:rsid w:val="002272D6"/>
    <w:rsid w:val="002642B6"/>
    <w:rsid w:val="00282358"/>
    <w:rsid w:val="00292328"/>
    <w:rsid w:val="00292E04"/>
    <w:rsid w:val="00297D20"/>
    <w:rsid w:val="002A1F91"/>
    <w:rsid w:val="002A4C1F"/>
    <w:rsid w:val="002B02ED"/>
    <w:rsid w:val="002B32B1"/>
    <w:rsid w:val="002D43C4"/>
    <w:rsid w:val="002D5DC7"/>
    <w:rsid w:val="002D7A3B"/>
    <w:rsid w:val="003064AB"/>
    <w:rsid w:val="0030674F"/>
    <w:rsid w:val="00315862"/>
    <w:rsid w:val="00327C32"/>
    <w:rsid w:val="00355076"/>
    <w:rsid w:val="00395C99"/>
    <w:rsid w:val="00426DE3"/>
    <w:rsid w:val="00434FA5"/>
    <w:rsid w:val="004457D0"/>
    <w:rsid w:val="00462EF0"/>
    <w:rsid w:val="00483CC6"/>
    <w:rsid w:val="00486BCF"/>
    <w:rsid w:val="004B5884"/>
    <w:rsid w:val="004C488E"/>
    <w:rsid w:val="004F5097"/>
    <w:rsid w:val="004F5FAA"/>
    <w:rsid w:val="005620EC"/>
    <w:rsid w:val="00574C6A"/>
    <w:rsid w:val="00585511"/>
    <w:rsid w:val="00585886"/>
    <w:rsid w:val="005A26F4"/>
    <w:rsid w:val="005C62A0"/>
    <w:rsid w:val="005F1115"/>
    <w:rsid w:val="006017E4"/>
    <w:rsid w:val="00604AE0"/>
    <w:rsid w:val="006061D5"/>
    <w:rsid w:val="00616C6A"/>
    <w:rsid w:val="00617B3D"/>
    <w:rsid w:val="0064239A"/>
    <w:rsid w:val="00671326"/>
    <w:rsid w:val="00673F1C"/>
    <w:rsid w:val="00696F25"/>
    <w:rsid w:val="006F272A"/>
    <w:rsid w:val="006F2BBB"/>
    <w:rsid w:val="00703B56"/>
    <w:rsid w:val="007458EA"/>
    <w:rsid w:val="00765663"/>
    <w:rsid w:val="007702D7"/>
    <w:rsid w:val="00791F25"/>
    <w:rsid w:val="007A32B2"/>
    <w:rsid w:val="008003A8"/>
    <w:rsid w:val="008060BD"/>
    <w:rsid w:val="00846D59"/>
    <w:rsid w:val="008602C7"/>
    <w:rsid w:val="00874C56"/>
    <w:rsid w:val="00885F1E"/>
    <w:rsid w:val="008A190B"/>
    <w:rsid w:val="008A2165"/>
    <w:rsid w:val="008A46F5"/>
    <w:rsid w:val="008B2CC4"/>
    <w:rsid w:val="008D1835"/>
    <w:rsid w:val="008E4B2C"/>
    <w:rsid w:val="009065E7"/>
    <w:rsid w:val="009107F1"/>
    <w:rsid w:val="00917E5D"/>
    <w:rsid w:val="0092004F"/>
    <w:rsid w:val="009278CC"/>
    <w:rsid w:val="00951119"/>
    <w:rsid w:val="00996B1B"/>
    <w:rsid w:val="009C38B4"/>
    <w:rsid w:val="009F51B6"/>
    <w:rsid w:val="00A03ADE"/>
    <w:rsid w:val="00A16FDE"/>
    <w:rsid w:val="00A279F7"/>
    <w:rsid w:val="00A563BA"/>
    <w:rsid w:val="00A7529C"/>
    <w:rsid w:val="00AA0299"/>
    <w:rsid w:val="00AA3331"/>
    <w:rsid w:val="00AB6A2E"/>
    <w:rsid w:val="00AC0C92"/>
    <w:rsid w:val="00AE5927"/>
    <w:rsid w:val="00AF3AB3"/>
    <w:rsid w:val="00AF580D"/>
    <w:rsid w:val="00B02A27"/>
    <w:rsid w:val="00B059F0"/>
    <w:rsid w:val="00B133D9"/>
    <w:rsid w:val="00B5147B"/>
    <w:rsid w:val="00B5236C"/>
    <w:rsid w:val="00B52404"/>
    <w:rsid w:val="00B812BE"/>
    <w:rsid w:val="00B82021"/>
    <w:rsid w:val="00B82075"/>
    <w:rsid w:val="00B91DA0"/>
    <w:rsid w:val="00B9373A"/>
    <w:rsid w:val="00B973AF"/>
    <w:rsid w:val="00BB0E25"/>
    <w:rsid w:val="00BC692F"/>
    <w:rsid w:val="00BF08D2"/>
    <w:rsid w:val="00C02F2C"/>
    <w:rsid w:val="00C02FC9"/>
    <w:rsid w:val="00C044EF"/>
    <w:rsid w:val="00C27521"/>
    <w:rsid w:val="00C4132A"/>
    <w:rsid w:val="00C55FE9"/>
    <w:rsid w:val="00C62D95"/>
    <w:rsid w:val="00C80119"/>
    <w:rsid w:val="00C856CA"/>
    <w:rsid w:val="00CA2D82"/>
    <w:rsid w:val="00CA38D0"/>
    <w:rsid w:val="00CC4D65"/>
    <w:rsid w:val="00CD5BA5"/>
    <w:rsid w:val="00CE5E8A"/>
    <w:rsid w:val="00CE66A8"/>
    <w:rsid w:val="00CF124D"/>
    <w:rsid w:val="00CF22F8"/>
    <w:rsid w:val="00CF4383"/>
    <w:rsid w:val="00CF575F"/>
    <w:rsid w:val="00D02BE9"/>
    <w:rsid w:val="00D073C1"/>
    <w:rsid w:val="00D20A39"/>
    <w:rsid w:val="00D3159B"/>
    <w:rsid w:val="00D33AE8"/>
    <w:rsid w:val="00D42F2F"/>
    <w:rsid w:val="00D75F8C"/>
    <w:rsid w:val="00D9042A"/>
    <w:rsid w:val="00DB7DC2"/>
    <w:rsid w:val="00DC13AF"/>
    <w:rsid w:val="00DC3AF5"/>
    <w:rsid w:val="00DE68FB"/>
    <w:rsid w:val="00E74B16"/>
    <w:rsid w:val="00E83399"/>
    <w:rsid w:val="00E96AB3"/>
    <w:rsid w:val="00E97A65"/>
    <w:rsid w:val="00EA1AF6"/>
    <w:rsid w:val="00EB721F"/>
    <w:rsid w:val="00EE0A17"/>
    <w:rsid w:val="00EE0AE5"/>
    <w:rsid w:val="00EE4C5B"/>
    <w:rsid w:val="00F201EA"/>
    <w:rsid w:val="00F25CA0"/>
    <w:rsid w:val="00F3366D"/>
    <w:rsid w:val="00F3383D"/>
    <w:rsid w:val="00F36453"/>
    <w:rsid w:val="00F572BE"/>
    <w:rsid w:val="00F7108E"/>
    <w:rsid w:val="00F80BE7"/>
    <w:rsid w:val="00F9020D"/>
    <w:rsid w:val="00F9083A"/>
    <w:rsid w:val="00FA78A5"/>
    <w:rsid w:val="00FC4477"/>
    <w:rsid w:val="00FD48E0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8188"/>
  <w15:docId w15:val="{6107725C-D2E7-49A9-88F6-CA0F3CF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66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3366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36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36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CA0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46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59"/>
  </w:style>
  <w:style w:type="character" w:styleId="Referenciaintensa">
    <w:name w:val="Intense Reference"/>
    <w:basedOn w:val="Fuentedeprrafopredeter"/>
    <w:uiPriority w:val="32"/>
    <w:qFormat/>
    <w:rsid w:val="0015504B"/>
    <w:rPr>
      <w:b/>
      <w:bCs/>
      <w:smallCaps/>
      <w:color w:val="4F81BD" w:themeColor="accent1"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bHEkD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nciencias.gov.co/sites/default/files/upload/convocatoria/4._anexo_1._documento_conceptual_del_modelo_de_reconocimiento_y_medicion_de_grupos_de_investigacion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37p8gQ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2201-F0E3-5D47-8FD5-866CD828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Docentes Unidad de Investigación</dc:creator>
  <cp:lastModifiedBy>ALEJANDRO GOMEZ JARAMILLO Gómez Jaramillo</cp:lastModifiedBy>
  <cp:revision>7</cp:revision>
  <cp:lastPrinted>2019-05-21T15:19:00Z</cp:lastPrinted>
  <dcterms:created xsi:type="dcterms:W3CDTF">2020-02-14T20:02:00Z</dcterms:created>
  <dcterms:modified xsi:type="dcterms:W3CDTF">2020-02-21T11:47:00Z</dcterms:modified>
</cp:coreProperties>
</file>